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tbl>
      <w:tblPr>
        <w:tblStyle w:val="TableGrid"/>
        <w:tblW w:w="0" w:type="auto"/>
        <w:tblLook w:val="04A0" w:firstRow="1" w:lastRow="0" w:firstColumn="1" w:lastColumn="0" w:noHBand="0" w:noVBand="1"/>
      </w:tblPr>
      <w:tblGrid>
        <w:gridCol w:w="1979"/>
        <w:gridCol w:w="2960"/>
        <w:gridCol w:w="2472"/>
        <w:gridCol w:w="2469"/>
        <w:gridCol w:w="9"/>
      </w:tblGrid>
      <w:tr w:rsidRPr="00FF17DD" w:rsidR="00FF17DD" w:rsidTr="00F2192E" w14:paraId="5B23E351" w14:textId="77777777">
        <w:trPr>
          <w:gridAfter w:val="1"/>
          <w:wAfter w:w="9" w:type="dxa"/>
          <w:trHeight w:val="276"/>
        </w:trPr>
        <w:tc>
          <w:tcPr>
            <w:tcW w:w="1978" w:type="dxa"/>
          </w:tcPr>
          <w:p w:rsidRPr="002462C9" w:rsidR="00862F3B" w:rsidRDefault="00862F3B" w14:paraId="3C35FFC4" w14:textId="53CDAE1D">
            <w:pPr>
              <w:rPr>
                <w:b/>
                <w:bCs/>
              </w:rPr>
            </w:pPr>
            <w:r w:rsidRPr="002462C9">
              <w:rPr>
                <w:b/>
                <w:bCs/>
              </w:rPr>
              <w:t>Delivery date:</w:t>
            </w:r>
          </w:p>
        </w:tc>
        <w:tc>
          <w:tcPr>
            <w:tcW w:w="2962" w:type="dxa"/>
          </w:tcPr>
          <w:p w:rsidRPr="00DA1F54" w:rsidR="00862F3B" w:rsidRDefault="00FD45FE" w14:paraId="7EA1D778" w14:textId="25B767F6">
            <w:pPr>
              <w:rPr>
                <w:color w:val="A6A6A6" w:themeColor="background1" w:themeShade="A6"/>
              </w:rPr>
            </w:pPr>
            <w:r w:rsidRPr="00DA1F54">
              <w:rPr>
                <w:color w:val="A6A6A6" w:themeColor="background1" w:themeShade="A6"/>
              </w:rPr>
              <w:t>Ie: academic year</w:t>
            </w:r>
          </w:p>
        </w:tc>
        <w:tc>
          <w:tcPr>
            <w:tcW w:w="2469" w:type="dxa"/>
          </w:tcPr>
          <w:p w:rsidRPr="002462C9" w:rsidR="00862F3B" w:rsidRDefault="00862F3B" w14:paraId="21D40B8F" w14:textId="4A8EF24B">
            <w:pPr>
              <w:rPr>
                <w:b/>
                <w:bCs/>
              </w:rPr>
            </w:pPr>
            <w:r w:rsidRPr="002462C9">
              <w:rPr>
                <w:b/>
                <w:bCs/>
              </w:rPr>
              <w:t>Delivery Timeslot:</w:t>
            </w:r>
          </w:p>
        </w:tc>
        <w:tc>
          <w:tcPr>
            <w:tcW w:w="2471" w:type="dxa"/>
          </w:tcPr>
          <w:p w:rsidRPr="00FF17DD" w:rsidR="00862F3B" w:rsidRDefault="00FF17DD" w14:paraId="5ECC3541" w14:textId="59FA0307">
            <w:pPr>
              <w:rPr>
                <w:color w:val="A6A6A6" w:themeColor="background1" w:themeShade="A6"/>
              </w:rPr>
            </w:pPr>
            <w:r w:rsidRPr="00FF17DD">
              <w:rPr>
                <w:color w:val="A6A6A6" w:themeColor="background1" w:themeShade="A6"/>
              </w:rPr>
              <w:t>Ie: periods</w:t>
            </w:r>
          </w:p>
        </w:tc>
      </w:tr>
      <w:tr w:rsidRPr="00FF17DD" w:rsidR="00FF17DD" w:rsidTr="00F2192E" w14:paraId="25446DD5" w14:textId="77777777">
        <w:trPr>
          <w:gridAfter w:val="1"/>
          <w:wAfter w:w="9" w:type="dxa"/>
          <w:trHeight w:val="285"/>
        </w:trPr>
        <w:tc>
          <w:tcPr>
            <w:tcW w:w="1978" w:type="dxa"/>
          </w:tcPr>
          <w:p w:rsidRPr="002462C9" w:rsidR="00862F3B" w:rsidRDefault="00862F3B" w14:paraId="0AD47910" w14:textId="04C86039">
            <w:pPr>
              <w:rPr>
                <w:b/>
                <w:bCs/>
              </w:rPr>
            </w:pPr>
            <w:r w:rsidRPr="002462C9">
              <w:rPr>
                <w:b/>
                <w:bCs/>
              </w:rPr>
              <w:t>Teacher Present</w:t>
            </w:r>
            <w:r w:rsidRPr="002462C9" w:rsidR="00477508">
              <w:rPr>
                <w:b/>
                <w:bCs/>
              </w:rPr>
              <w:t>:</w:t>
            </w:r>
          </w:p>
        </w:tc>
        <w:tc>
          <w:tcPr>
            <w:tcW w:w="2962" w:type="dxa"/>
          </w:tcPr>
          <w:p w:rsidRPr="00DA1F54" w:rsidR="00862F3B" w:rsidRDefault="00FD45FE" w14:paraId="14351E1A" w14:textId="23F1D56E">
            <w:pPr>
              <w:rPr>
                <w:color w:val="A6A6A6" w:themeColor="background1" w:themeShade="A6"/>
              </w:rPr>
            </w:pPr>
            <w:r w:rsidRPr="00DA1F54">
              <w:rPr>
                <w:color w:val="A6A6A6" w:themeColor="background1" w:themeShade="A6"/>
              </w:rPr>
              <w:t>Ie:</w:t>
            </w:r>
            <w:r w:rsidR="00DA1F54">
              <w:rPr>
                <w:color w:val="A6A6A6" w:themeColor="background1" w:themeShade="A6"/>
              </w:rPr>
              <w:t xml:space="preserve"> staffing</w:t>
            </w:r>
          </w:p>
        </w:tc>
        <w:tc>
          <w:tcPr>
            <w:tcW w:w="2469" w:type="dxa"/>
          </w:tcPr>
          <w:p w:rsidRPr="002462C9" w:rsidR="00862F3B" w:rsidRDefault="00862F3B" w14:paraId="54D08344" w14:textId="2A983849">
            <w:pPr>
              <w:rPr>
                <w:b/>
                <w:bCs/>
              </w:rPr>
            </w:pPr>
            <w:r w:rsidRPr="002462C9">
              <w:rPr>
                <w:b/>
                <w:bCs/>
              </w:rPr>
              <w:t>Teacher Absent:</w:t>
            </w:r>
          </w:p>
        </w:tc>
        <w:tc>
          <w:tcPr>
            <w:tcW w:w="2471" w:type="dxa"/>
          </w:tcPr>
          <w:p w:rsidRPr="00FF17DD" w:rsidR="00862F3B" w:rsidRDefault="00862F3B" w14:paraId="5E48ADE7" w14:textId="77777777">
            <w:pPr>
              <w:rPr>
                <w:color w:val="A6A6A6" w:themeColor="background1" w:themeShade="A6"/>
              </w:rPr>
            </w:pPr>
          </w:p>
        </w:tc>
      </w:tr>
      <w:tr w:rsidRPr="00FF17DD" w:rsidR="00FF17DD" w:rsidTr="00F2192E" w14:paraId="69C2984E" w14:textId="77777777">
        <w:trPr>
          <w:gridAfter w:val="1"/>
          <w:wAfter w:w="9" w:type="dxa"/>
          <w:trHeight w:val="285"/>
        </w:trPr>
        <w:tc>
          <w:tcPr>
            <w:tcW w:w="1978" w:type="dxa"/>
          </w:tcPr>
          <w:p w:rsidRPr="002462C9" w:rsidR="00862F3B" w:rsidRDefault="00862F3B" w14:paraId="4D3641F8" w14:textId="476E466B">
            <w:pPr>
              <w:rPr>
                <w:b/>
                <w:bCs/>
              </w:rPr>
            </w:pPr>
            <w:r w:rsidRPr="002462C9">
              <w:rPr>
                <w:b/>
                <w:bCs/>
              </w:rPr>
              <w:t>Head Of Dept:</w:t>
            </w:r>
          </w:p>
        </w:tc>
        <w:tc>
          <w:tcPr>
            <w:tcW w:w="2962" w:type="dxa"/>
          </w:tcPr>
          <w:p w:rsidRPr="00DA1F54" w:rsidR="00862F3B" w:rsidRDefault="00862F3B" w14:paraId="358DACC6" w14:textId="77777777">
            <w:pPr>
              <w:rPr>
                <w:color w:val="A6A6A6" w:themeColor="background1" w:themeShade="A6"/>
              </w:rPr>
            </w:pPr>
          </w:p>
        </w:tc>
        <w:tc>
          <w:tcPr>
            <w:tcW w:w="2469" w:type="dxa"/>
          </w:tcPr>
          <w:p w:rsidRPr="002462C9" w:rsidR="00862F3B" w:rsidRDefault="00862F3B" w14:paraId="1729EE11" w14:textId="4085FDC3">
            <w:pPr>
              <w:rPr>
                <w:b/>
                <w:bCs/>
              </w:rPr>
            </w:pPr>
            <w:r w:rsidRPr="002462C9">
              <w:rPr>
                <w:b/>
                <w:bCs/>
              </w:rPr>
              <w:t>Teaching Assistant:</w:t>
            </w:r>
          </w:p>
        </w:tc>
        <w:tc>
          <w:tcPr>
            <w:tcW w:w="2471" w:type="dxa"/>
          </w:tcPr>
          <w:p w:rsidRPr="00FF17DD" w:rsidR="00862F3B" w:rsidRDefault="00CC699A" w14:paraId="3E9EB640" w14:textId="081F5CE7">
            <w:pPr>
              <w:rPr>
                <w:color w:val="A6A6A6" w:themeColor="background1" w:themeShade="A6"/>
              </w:rPr>
            </w:pPr>
            <w:r>
              <w:rPr>
                <w:color w:val="A6A6A6" w:themeColor="background1" w:themeShade="A6"/>
              </w:rPr>
              <w:t>Ie: staffing</w:t>
            </w:r>
          </w:p>
        </w:tc>
      </w:tr>
      <w:tr w:rsidR="00F2192E" w:rsidTr="00F2192E" w14:paraId="7DEECCAB" w14:textId="77777777">
        <w:tc>
          <w:tcPr>
            <w:tcW w:w="1980" w:type="dxa"/>
          </w:tcPr>
          <w:p w:rsidRPr="00F2192E" w:rsidR="00F2192E" w:rsidRDefault="00F2192E" w14:paraId="5F2DB55D" w14:textId="64A2F72D">
            <w:pPr>
              <w:rPr>
                <w:b/>
                <w:bCs/>
              </w:rPr>
            </w:pPr>
            <w:r w:rsidRPr="00F2192E">
              <w:rPr>
                <w:b/>
                <w:bCs/>
              </w:rPr>
              <w:t>Class Code:</w:t>
            </w:r>
          </w:p>
        </w:tc>
        <w:tc>
          <w:tcPr>
            <w:tcW w:w="2960" w:type="dxa"/>
          </w:tcPr>
          <w:p w:rsidRPr="00DA1F54" w:rsidR="00F2192E" w:rsidRDefault="00F2192E" w14:paraId="77939AE1" w14:textId="77777777">
            <w:pPr>
              <w:rPr>
                <w:color w:val="A6A6A6" w:themeColor="background1" w:themeShade="A6"/>
              </w:rPr>
            </w:pPr>
          </w:p>
        </w:tc>
        <w:tc>
          <w:tcPr>
            <w:tcW w:w="2474" w:type="dxa"/>
          </w:tcPr>
          <w:p w:rsidRPr="00F2192E" w:rsidR="00F2192E" w:rsidRDefault="00F2192E" w14:paraId="74A9B1BB" w14:textId="35A47720">
            <w:pPr>
              <w:rPr>
                <w:b/>
                <w:bCs/>
              </w:rPr>
            </w:pPr>
            <w:r w:rsidRPr="00F2192E">
              <w:rPr>
                <w:b/>
                <w:bCs/>
              </w:rPr>
              <w:t>Ability range:</w:t>
            </w:r>
          </w:p>
        </w:tc>
        <w:tc>
          <w:tcPr>
            <w:tcW w:w="2475" w:type="dxa"/>
            <w:gridSpan w:val="2"/>
          </w:tcPr>
          <w:p w:rsidRPr="00FF17DD" w:rsidR="00F2192E" w:rsidRDefault="00F2192E" w14:paraId="2D1446D9" w14:textId="77777777">
            <w:pPr>
              <w:rPr>
                <w:color w:val="A6A6A6" w:themeColor="background1" w:themeShade="A6"/>
              </w:rPr>
            </w:pPr>
          </w:p>
        </w:tc>
      </w:tr>
    </w:tbl>
    <w:p w:rsidR="00862F3B" w:rsidP="00B750AE" w:rsidRDefault="00862F3B" w14:paraId="17129631" w14:textId="77777777">
      <w:pPr>
        <w:spacing w:after="0"/>
      </w:pPr>
    </w:p>
    <w:tbl>
      <w:tblPr>
        <w:tblStyle w:val="TableGrid"/>
        <w:tblW w:w="9918" w:type="dxa"/>
        <w:tblLook w:val="04A0" w:firstRow="1" w:lastRow="0" w:firstColumn="1" w:lastColumn="0" w:noHBand="0" w:noVBand="1"/>
      </w:tblPr>
      <w:tblGrid>
        <w:gridCol w:w="1354"/>
        <w:gridCol w:w="8564"/>
      </w:tblGrid>
      <w:tr w:rsidR="00B34007" w:rsidTr="00FB13BB" w14:paraId="62B4B088" w14:textId="77777777">
        <w:tc>
          <w:tcPr>
            <w:tcW w:w="1354" w:type="dxa"/>
            <w:vAlign w:val="center"/>
          </w:tcPr>
          <w:p w:rsidRPr="002462C9" w:rsidR="00B34007" w:rsidP="00FB13BB" w:rsidRDefault="00307939" w14:paraId="0FD0353E" w14:textId="042C3175">
            <w:pPr>
              <w:rPr>
                <w:b/>
                <w:bCs/>
              </w:rPr>
            </w:pPr>
            <w:r>
              <w:rPr>
                <w:b/>
                <w:bCs/>
              </w:rPr>
              <w:t xml:space="preserve">Learning </w:t>
            </w:r>
            <w:r w:rsidRPr="002462C9" w:rsidR="00B34007">
              <w:rPr>
                <w:b/>
                <w:bCs/>
              </w:rPr>
              <w:t>Objectives</w:t>
            </w:r>
            <w:r w:rsidR="002462C9">
              <w:rPr>
                <w:b/>
                <w:bCs/>
              </w:rPr>
              <w:t>:</w:t>
            </w:r>
          </w:p>
        </w:tc>
        <w:tc>
          <w:tcPr>
            <w:tcW w:w="8564" w:type="dxa"/>
          </w:tcPr>
          <w:p w:rsidR="00B34007" w:rsidP="00B34007" w:rsidRDefault="00307939" w14:paraId="41974166" w14:textId="538382A2">
            <w:r>
              <w:rPr>
                <w:b/>
                <w:bCs/>
              </w:rPr>
              <w:t>Mission Statement</w:t>
            </w:r>
            <w:r w:rsidRPr="002462C9" w:rsidR="00B34007">
              <w:rPr>
                <w:b/>
                <w:bCs/>
              </w:rPr>
              <w:t>:</w:t>
            </w:r>
            <w:r w:rsidR="00B34007">
              <w:t xml:space="preserve"> </w:t>
            </w:r>
            <w:r w:rsidR="002954F0">
              <w:t xml:space="preserve">Prioritising of the Methodological Learning – </w:t>
            </w:r>
            <w:r w:rsidR="00FA1518">
              <w:t>treating is as</w:t>
            </w:r>
            <w:r w:rsidR="002954F0">
              <w:t xml:space="preserve"> mandatory </w:t>
            </w:r>
            <w:r w:rsidR="00FA1518">
              <w:t xml:space="preserve">/ transferable across </w:t>
            </w:r>
            <w:r w:rsidR="002954F0">
              <w:t>the discipline</w:t>
            </w:r>
            <w:r w:rsidR="00C75CBA">
              <w:t>.</w:t>
            </w:r>
            <w:r w:rsidR="00A4008E">
              <w:t xml:space="preserve"> </w:t>
            </w:r>
            <w:r w:rsidR="00D316C3">
              <w:t xml:space="preserve">Future units will be recalling and </w:t>
            </w:r>
            <w:r w:rsidR="00C770C7">
              <w:t xml:space="preserve">strengthening methodological knowledge through repetition. </w:t>
            </w:r>
          </w:p>
        </w:tc>
      </w:tr>
    </w:tbl>
    <w:p w:rsidR="00ED064E" w:rsidP="00B36A5F" w:rsidRDefault="00A80BC0" w14:paraId="1AF2A98B" w14:textId="0EE9B148">
      <w:pPr>
        <w:spacing w:before="240"/>
      </w:pPr>
      <w:r w:rsidR="00A80BC0">
        <w:rPr/>
        <w:t xml:space="preserve">Mission statements need to be underpinned by the </w:t>
      </w:r>
      <w:r w:rsidR="00F87D31">
        <w:rPr/>
        <w:t xml:space="preserve">academic, pedagogical, theoretical framework around teaching. </w:t>
      </w:r>
      <w:r w:rsidR="009B3240">
        <w:rPr/>
        <w:t xml:space="preserve">The selection of academics here </w:t>
      </w:r>
      <w:r w:rsidR="00E2479D">
        <w:rPr/>
        <w:t>prioritize</w:t>
      </w:r>
      <w:r w:rsidR="00E2479D">
        <w:rPr/>
        <w:t xml:space="preserve"> ideas of cognitive load, sequencing, dis</w:t>
      </w:r>
      <w:r w:rsidR="00692ECC">
        <w:rPr/>
        <w:t>t</w:t>
      </w:r>
      <w:r w:rsidR="00E2479D">
        <w:rPr/>
        <w:t>in</w:t>
      </w:r>
      <w:r w:rsidR="00D3389E">
        <w:rPr/>
        <w:t>c</w:t>
      </w:r>
      <w:r w:rsidR="00E2479D">
        <w:rPr/>
        <w:t xml:space="preserve">tion between knowledge forms, the prioritizing of knowledge forms and the </w:t>
      </w:r>
      <w:r w:rsidR="00FA35CF">
        <w:rPr/>
        <w:t xml:space="preserve">range of knowledge within a discipline. The subsequent curriculum and lesson designs have been built in response to these. </w:t>
      </w:r>
    </w:p>
    <w:p w:rsidR="2B268806" w:rsidP="7D678A44" w:rsidRDefault="2B268806" w14:paraId="23ED6114" w14:textId="0D8D70EF">
      <w:pPr>
        <w:spacing w:before="240"/>
      </w:pPr>
      <w:r w:rsidR="2B268806">
        <w:rPr/>
        <w:t>When studying English Language, a student needs to have in mind the same kinds of learning objectives as their French, Spanish or German language lessons. English Language is more advanced than those disciplines within Foreign Languages, because it is assumed you are a native speaker – that English is your first language. English Language lessons end in writing longer passages, and you should be demonstrating a strong grasp of the rules, grammar or conventions of English Language.</w:t>
      </w:r>
    </w:p>
    <w:p w:rsidR="00FA35CF" w:rsidP="007E35EC" w:rsidRDefault="00FA35CF" w14:paraId="7861D7C4" w14:textId="0E630C4D">
      <w:pPr>
        <w:pStyle w:val="Heading1"/>
      </w:pPr>
      <w:r>
        <w:t>In summary:</w:t>
      </w:r>
    </w:p>
    <w:p w:rsidR="00FA35CF" w:rsidP="00FA35CF" w:rsidRDefault="009B7938" w14:paraId="6D63ADE2" w14:textId="6F12AAD6">
      <w:pPr>
        <w:pStyle w:val="ListParagraph"/>
        <w:numPr>
          <w:ilvl w:val="0"/>
          <w:numId w:val="1"/>
        </w:numPr>
        <w:spacing w:before="240"/>
      </w:pPr>
      <w:r>
        <w:t>Knowledge can</w:t>
      </w:r>
      <w:r w:rsidR="00D2514A">
        <w:t xml:space="preserve"> be</w:t>
      </w:r>
      <w:r>
        <w:t xml:space="preserve"> distinguished between the </w:t>
      </w:r>
      <w:r w:rsidRPr="007D7E11" w:rsidR="007D7E11">
        <w:rPr>
          <w:b/>
          <w:bCs/>
        </w:rPr>
        <w:t>m</w:t>
      </w:r>
      <w:r w:rsidRPr="007D7E11">
        <w:rPr>
          <w:b/>
          <w:bCs/>
        </w:rPr>
        <w:t>ethodological</w:t>
      </w:r>
      <w:r>
        <w:t xml:space="preserve"> </w:t>
      </w:r>
      <w:r w:rsidR="00D2514A">
        <w:t>(</w:t>
      </w:r>
      <w:r>
        <w:t>substantive / disciplinary knowledge</w:t>
      </w:r>
      <w:r w:rsidR="00D2514A">
        <w:t>)</w:t>
      </w:r>
      <w:r>
        <w:t xml:space="preserve"> and the </w:t>
      </w:r>
      <w:r w:rsidRPr="007D7E11">
        <w:rPr>
          <w:b/>
          <w:bCs/>
        </w:rPr>
        <w:t>material</w:t>
      </w:r>
      <w:r>
        <w:t xml:space="preserve"> </w:t>
      </w:r>
      <w:r w:rsidR="00D2514A">
        <w:t>(</w:t>
      </w:r>
      <w:r>
        <w:t xml:space="preserve">textual </w:t>
      </w:r>
      <w:r w:rsidR="00CE1785">
        <w:t>knowledge</w:t>
      </w:r>
      <w:r w:rsidR="00D2514A">
        <w:t>)</w:t>
      </w:r>
      <w:r w:rsidR="00CE1785">
        <w:t>.</w:t>
      </w:r>
    </w:p>
    <w:p w:rsidR="00CE1785" w:rsidP="00FA35CF" w:rsidRDefault="00CE1785" w14:paraId="3161729D" w14:textId="60A1EC10">
      <w:pPr>
        <w:pStyle w:val="ListParagraph"/>
        <w:numPr>
          <w:ilvl w:val="0"/>
          <w:numId w:val="1"/>
        </w:numPr>
        <w:spacing w:before="240"/>
      </w:pPr>
      <w:r>
        <w:t xml:space="preserve">The </w:t>
      </w:r>
      <w:r w:rsidR="007D7E11">
        <w:t>m</w:t>
      </w:r>
      <w:r>
        <w:t xml:space="preserve">ethodological knowledge is powerful, transferable and universal </w:t>
      </w:r>
      <w:r w:rsidR="00D2514A">
        <w:t>across</w:t>
      </w:r>
      <w:r>
        <w:t xml:space="preserve"> a discipline</w:t>
      </w:r>
      <w:r w:rsidR="00FF4F64">
        <w:t xml:space="preserve"> – it is </w:t>
      </w:r>
      <w:r w:rsidRPr="007D7E11" w:rsidR="00FF4F64">
        <w:rPr>
          <w:b/>
          <w:bCs/>
        </w:rPr>
        <w:t>mandatory</w:t>
      </w:r>
      <w:r w:rsidR="00FF4F64">
        <w:t xml:space="preserve"> to the learning</w:t>
      </w:r>
      <w:r>
        <w:t>.</w:t>
      </w:r>
      <w:r w:rsidR="00FF4F64">
        <w:t xml:space="preserve"> The material is </w:t>
      </w:r>
      <w:r w:rsidRPr="007D7E11" w:rsidR="00FF4F64">
        <w:rPr>
          <w:b/>
          <w:bCs/>
        </w:rPr>
        <w:t>arbitrary</w:t>
      </w:r>
      <w:r w:rsidR="00FF4F64">
        <w:t xml:space="preserve"> and</w:t>
      </w:r>
      <w:r w:rsidR="007D7E11">
        <w:t xml:space="preserve"> is there to evidence the efficacy of the methodological knowledge.</w:t>
      </w:r>
    </w:p>
    <w:p w:rsidR="00CE1785" w:rsidP="00FA35CF" w:rsidRDefault="00FF503B" w14:paraId="008E557F" w14:textId="0A69E4B4">
      <w:pPr>
        <w:pStyle w:val="ListParagraph"/>
        <w:numPr>
          <w:ilvl w:val="0"/>
          <w:numId w:val="1"/>
        </w:numPr>
        <w:spacing w:before="240"/>
      </w:pPr>
      <w:r>
        <w:t xml:space="preserve">Students will struggle when </w:t>
      </w:r>
      <w:r w:rsidR="00A655BC">
        <w:t xml:space="preserve">both kinds of knowledge are </w:t>
      </w:r>
      <w:proofErr w:type="gramStart"/>
      <w:r w:rsidR="00A655BC">
        <w:t>new, and</w:t>
      </w:r>
      <w:proofErr w:type="gramEnd"/>
      <w:r w:rsidR="00A655BC">
        <w:t xml:space="preserve"> will be supported when at least one of these is being drawn from </w:t>
      </w:r>
      <w:r w:rsidRPr="00801633" w:rsidR="00A655BC">
        <w:rPr>
          <w:b/>
          <w:bCs/>
        </w:rPr>
        <w:t>long term memory</w:t>
      </w:r>
      <w:r w:rsidR="00A655BC">
        <w:t>.</w:t>
      </w:r>
    </w:p>
    <w:p w:rsidR="00A655BC" w:rsidP="00FA35CF" w:rsidRDefault="00455FC3" w14:paraId="528C16D6" w14:textId="414D5AE8">
      <w:pPr>
        <w:pStyle w:val="ListParagraph"/>
        <w:numPr>
          <w:ilvl w:val="0"/>
          <w:numId w:val="1"/>
        </w:numPr>
        <w:spacing w:before="240"/>
      </w:pPr>
      <w:r>
        <w:t xml:space="preserve">Knowledge in long term memory has significantly less impact on </w:t>
      </w:r>
      <w:r w:rsidRPr="00801633">
        <w:rPr>
          <w:b/>
          <w:bCs/>
        </w:rPr>
        <w:t>cognitive load</w:t>
      </w:r>
      <w:r>
        <w:t xml:space="preserve"> than new knowledge being used in working memory.</w:t>
      </w:r>
    </w:p>
    <w:p w:rsidR="006249D8" w:rsidP="00FA35CF" w:rsidRDefault="006249D8" w14:paraId="53E19174" w14:textId="6BE9C605">
      <w:pPr>
        <w:pStyle w:val="ListParagraph"/>
        <w:numPr>
          <w:ilvl w:val="0"/>
          <w:numId w:val="1"/>
        </w:numPr>
        <w:spacing w:before="240"/>
      </w:pPr>
      <w:r>
        <w:t xml:space="preserve">Prioritising the learning of methodological learning and passing this into long </w:t>
      </w:r>
      <w:r w:rsidR="00221ABB">
        <w:t xml:space="preserve">memory eases cognitive load when </w:t>
      </w:r>
      <w:r w:rsidR="009B1D1F">
        <w:t>material study is challenging.</w:t>
      </w:r>
    </w:p>
    <w:p w:rsidR="009B1D1F" w:rsidP="00FA35CF" w:rsidRDefault="00801633" w14:paraId="024D178D" w14:textId="162FAA07">
      <w:pPr>
        <w:pStyle w:val="ListParagraph"/>
        <w:numPr>
          <w:ilvl w:val="0"/>
          <w:numId w:val="1"/>
        </w:numPr>
        <w:spacing w:before="240"/>
      </w:pPr>
      <w:r>
        <w:t>Placing</w:t>
      </w:r>
      <w:r w:rsidR="009B1D1F">
        <w:t xml:space="preserve"> disciplinary knowledge </w:t>
      </w:r>
      <w:r>
        <w:t xml:space="preserve">into long term memory </w:t>
      </w:r>
      <w:r w:rsidR="009B1D1F">
        <w:t xml:space="preserve">is a necessary part in </w:t>
      </w:r>
      <w:r w:rsidRPr="00801633" w:rsidR="009B1D1F">
        <w:rPr>
          <w:b/>
          <w:bCs/>
        </w:rPr>
        <w:t>reducing the cognitive load</w:t>
      </w:r>
      <w:r w:rsidR="009B1D1F">
        <w:t xml:space="preserve"> of </w:t>
      </w:r>
      <w:r>
        <w:t>cognitive studies</w:t>
      </w:r>
      <w:r w:rsidR="009B1D1F">
        <w:t xml:space="preserve"> because </w:t>
      </w:r>
      <w:r w:rsidR="001A297B">
        <w:t>to do so frees up working memory for the text</w:t>
      </w:r>
      <w:r w:rsidR="004D1DE5">
        <w:t>.</w:t>
      </w:r>
    </w:p>
    <w:p w:rsidR="00D87FBF" w:rsidP="00FA35CF" w:rsidRDefault="00F04ECB" w14:paraId="54E81D87" w14:textId="77777777">
      <w:pPr>
        <w:pStyle w:val="ListParagraph"/>
        <w:numPr>
          <w:ilvl w:val="0"/>
          <w:numId w:val="1"/>
        </w:numPr>
        <w:spacing w:before="240"/>
      </w:pPr>
      <w:r>
        <w:t>The Methodological Knowledge needs sequence</w:t>
      </w:r>
      <w:r w:rsidR="001A297B">
        <w:t>d</w:t>
      </w:r>
      <w:r>
        <w:t xml:space="preserve"> and revisited to pass into long term memory</w:t>
      </w:r>
      <w:r w:rsidR="00F90D3C">
        <w:t xml:space="preserve">. </w:t>
      </w:r>
      <w:r w:rsidR="003F5DB8">
        <w:t xml:space="preserve">By repeating the methodological lessons for all Literature </w:t>
      </w:r>
      <w:r w:rsidR="007E382E">
        <w:t xml:space="preserve">syllabi, learning is being </w:t>
      </w:r>
      <w:r w:rsidRPr="00D87FBF" w:rsidR="007E382E">
        <w:rPr>
          <w:b/>
          <w:bCs/>
        </w:rPr>
        <w:t>reinforced and strengthened</w:t>
      </w:r>
      <w:r w:rsidR="007E382E">
        <w:t>.</w:t>
      </w:r>
      <w:r w:rsidR="00D87FBF">
        <w:t xml:space="preserve"> </w:t>
      </w:r>
      <w:r w:rsidR="00F90D3C">
        <w:t xml:space="preserve">The textual knowledge at lower levels does not need passing into long term memory </w:t>
      </w:r>
      <w:r w:rsidR="00044023">
        <w:t>and is not sequenced for later retrieval.</w:t>
      </w:r>
      <w:r w:rsidR="00263BBE">
        <w:t xml:space="preserve"> </w:t>
      </w:r>
    </w:p>
    <w:p w:rsidR="00F03B48" w:rsidP="00FA35CF" w:rsidRDefault="00D87FBF" w14:paraId="61FF9FEA" w14:textId="2EDDFD69">
      <w:pPr>
        <w:pStyle w:val="ListParagraph"/>
        <w:numPr>
          <w:ilvl w:val="0"/>
          <w:numId w:val="1"/>
        </w:numPr>
        <w:spacing w:before="240"/>
      </w:pPr>
      <w:r>
        <w:t>At higher years, t</w:t>
      </w:r>
      <w:r w:rsidR="00263BBE">
        <w:t xml:space="preserve">he exam texts </w:t>
      </w:r>
      <w:r>
        <w:t xml:space="preserve">are </w:t>
      </w:r>
      <w:r w:rsidR="00263BBE">
        <w:t>the priority</w:t>
      </w:r>
      <w:r w:rsidR="00C21A0A">
        <w:t xml:space="preserve"> </w:t>
      </w:r>
      <w:r>
        <w:t>in knowledge</w:t>
      </w:r>
      <w:r w:rsidR="00C21A0A">
        <w:t xml:space="preserve">. GCSE can be described as having mandatory knowledge in both methodological and material </w:t>
      </w:r>
      <w:proofErr w:type="gramStart"/>
      <w:r w:rsidR="00C21A0A">
        <w:t>forms, but</w:t>
      </w:r>
      <w:proofErr w:type="gramEnd"/>
      <w:r w:rsidR="00C21A0A">
        <w:t xml:space="preserve"> having methodological in LTM </w:t>
      </w:r>
      <w:r w:rsidRPr="00241587" w:rsidR="00C21A0A">
        <w:rPr>
          <w:b/>
          <w:bCs/>
        </w:rPr>
        <w:t>allows working memory to focus on the material</w:t>
      </w:r>
      <w:r w:rsidR="00C21A0A">
        <w:t xml:space="preserve"> – thus the sequencing resolves a </w:t>
      </w:r>
      <w:proofErr w:type="gramStart"/>
      <w:r w:rsidR="00C21A0A">
        <w:t>long standing</w:t>
      </w:r>
      <w:proofErr w:type="gramEnd"/>
      <w:r w:rsidR="00C21A0A">
        <w:t xml:space="preserve"> problem of how to deliver Literature. </w:t>
      </w:r>
    </w:p>
    <w:p w:rsidR="00C02937" w:rsidP="00FA35CF" w:rsidRDefault="00C02937" w14:paraId="38EBB828" w14:textId="265E5CF4">
      <w:pPr>
        <w:pStyle w:val="ListParagraph"/>
        <w:numPr>
          <w:ilvl w:val="0"/>
          <w:numId w:val="1"/>
        </w:numPr>
        <w:spacing w:before="240"/>
      </w:pPr>
      <w:r>
        <w:t xml:space="preserve">Without this </w:t>
      </w:r>
      <w:r w:rsidR="00A113B5">
        <w:t xml:space="preserve">conceptual </w:t>
      </w:r>
      <w:r>
        <w:t xml:space="preserve">language being taught explicitly, </w:t>
      </w:r>
      <w:r w:rsidR="00A113B5">
        <w:t xml:space="preserve">students are unable to </w:t>
      </w:r>
      <w:r w:rsidR="000A5AB2">
        <w:t xml:space="preserve">even conceive of the </w:t>
      </w:r>
      <w:proofErr w:type="gramStart"/>
      <w:r w:rsidR="000A5AB2">
        <w:t>information, and</w:t>
      </w:r>
      <w:proofErr w:type="gramEnd"/>
      <w:r w:rsidR="000A5AB2">
        <w:t xml:space="preserve"> so withholding conceptual language leaves students deficient in even the ability to conceive of </w:t>
      </w:r>
      <w:r w:rsidR="00A15A0B">
        <w:t xml:space="preserve">analytical processes. Thus, to </w:t>
      </w:r>
      <w:proofErr w:type="gramStart"/>
      <w:r w:rsidR="00A15A0B">
        <w:t>actually understand</w:t>
      </w:r>
      <w:proofErr w:type="gramEnd"/>
      <w:r w:rsidR="00A15A0B">
        <w:t xml:space="preserve"> texts in a disciplinary way, the disciplinary language needs teaching first.</w:t>
      </w:r>
    </w:p>
    <w:p w:rsidR="00241587" w:rsidP="00241587" w:rsidRDefault="002461EF" w14:paraId="25BFFFB0" w14:textId="511A8639">
      <w:pPr>
        <w:spacing w:before="240"/>
      </w:pPr>
      <w:r>
        <w:rPr>
          <w:noProof/>
        </w:rPr>
        <w:drawing>
          <wp:inline distT="0" distB="0" distL="0" distR="0" wp14:anchorId="019C0883" wp14:editId="222E3493">
            <wp:extent cx="6285865" cy="2274570"/>
            <wp:effectExtent l="0" t="0" r="635" b="0"/>
            <wp:docPr id="11155290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529055" name="Picture 1115529055"/>
                    <pic:cNvPicPr/>
                  </pic:nvPicPr>
                  <pic:blipFill>
                    <a:blip r:embed="rId7" cstate="print">
                      <a:extLst>
                        <a:ext uri="{28A0092B-C50C-407E-A947-70E740481C1C}">
                          <a14:useLocalDpi xmlns:a14="http://schemas.microsoft.com/office/drawing/2010/main" val="0"/>
                        </a:ext>
                      </a:extLst>
                    </a:blip>
                    <a:stretch>
                      <a:fillRect/>
                    </a:stretch>
                  </pic:blipFill>
                  <pic:spPr>
                    <a:xfrm>
                      <a:off x="0" y="0"/>
                      <a:ext cx="6285865" cy="2274570"/>
                    </a:xfrm>
                    <a:prstGeom prst="rect">
                      <a:avLst/>
                    </a:prstGeom>
                  </pic:spPr>
                </pic:pic>
              </a:graphicData>
            </a:graphic>
          </wp:inline>
        </w:drawing>
      </w:r>
    </w:p>
    <w:p w:rsidR="00ED064E" w:rsidP="0061537C" w:rsidRDefault="0061537C" w14:paraId="59A13C81" w14:textId="137C8E09">
      <w:pPr>
        <w:pStyle w:val="Heading1"/>
      </w:pPr>
      <w:r>
        <w:t>Pedagogy:</w:t>
      </w:r>
    </w:p>
    <w:p w:rsidR="00A641B0" w:rsidP="00716436" w:rsidRDefault="00A641B0" w14:paraId="297E27EF" w14:textId="1832D658">
      <w:pPr>
        <w:pStyle w:val="Heading2"/>
      </w:pPr>
      <w:r>
        <w:t>Benjamin Bloom</w:t>
      </w:r>
      <w:r w:rsidR="00716436">
        <w:t xml:space="preserve">, </w:t>
      </w:r>
      <w:r w:rsidRPr="00716436" w:rsidR="00716436">
        <w:t>Cognitive Domain</w:t>
      </w:r>
    </w:p>
    <w:p w:rsidRPr="00716436" w:rsidR="00716436" w:rsidP="00716436" w:rsidRDefault="00716436" w14:paraId="450311C2" w14:textId="1ABFEB41">
      <w:pPr>
        <w:spacing w:after="0" w:line="300" w:lineRule="atLeast"/>
        <w:rPr>
          <w:rFonts w:ascii="Segoe UI" w:hAnsi="Segoe UI" w:eastAsia="Times New Roman" w:cs="Segoe UI"/>
          <w:kern w:val="0"/>
          <w:sz w:val="21"/>
          <w:szCs w:val="21"/>
          <w:lang w:eastAsia="en-GB"/>
          <w14:ligatures w14:val="none"/>
        </w:rPr>
      </w:pPr>
      <w:r w:rsidRPr="00716436">
        <w:rPr>
          <w:rFonts w:ascii="Segoe UI" w:hAnsi="Segoe UI" w:eastAsia="Times New Roman" w:cs="Segoe UI"/>
          <w:kern w:val="0"/>
          <w:sz w:val="21"/>
          <w:szCs w:val="21"/>
          <w:lang w:eastAsia="en-GB"/>
          <w14:ligatures w14:val="none"/>
        </w:rPr>
        <w:t xml:space="preserve">Benjamin Bloom’s taxonomy informs </w:t>
      </w:r>
      <w:r w:rsidR="00225B07">
        <w:rPr>
          <w:rFonts w:ascii="Segoe UI" w:hAnsi="Segoe UI" w:eastAsia="Times New Roman" w:cs="Segoe UI"/>
          <w:kern w:val="0"/>
          <w:sz w:val="21"/>
          <w:szCs w:val="21"/>
          <w:lang w:eastAsia="en-GB"/>
          <w14:ligatures w14:val="none"/>
        </w:rPr>
        <w:t>Discipline OF English’s</w:t>
      </w:r>
      <w:r w:rsidRPr="00716436">
        <w:rPr>
          <w:rFonts w:ascii="Segoe UI" w:hAnsi="Segoe UI" w:eastAsia="Times New Roman" w:cs="Segoe UI"/>
          <w:kern w:val="0"/>
          <w:sz w:val="21"/>
          <w:szCs w:val="21"/>
          <w:lang w:eastAsia="en-GB"/>
          <w14:ligatures w14:val="none"/>
        </w:rPr>
        <w:t xml:space="preserve"> distinction between material and methodological knowledge within literary study. Bloom conceptualises the cognitive domain as progressing from the </w:t>
      </w:r>
      <w:r w:rsidRPr="00A517C2">
        <w:rPr>
          <w:rFonts w:ascii="Segoe UI" w:hAnsi="Segoe UI" w:eastAsia="Times New Roman" w:cs="Segoe UI"/>
          <w:b/>
          <w:bCs/>
          <w:kern w:val="0"/>
          <w:sz w:val="21"/>
          <w:szCs w:val="21"/>
          <w:lang w:eastAsia="en-GB"/>
          <w14:ligatures w14:val="none"/>
        </w:rPr>
        <w:t>acquisition of knowledge</w:t>
      </w:r>
      <w:r w:rsidRPr="00716436">
        <w:rPr>
          <w:rFonts w:ascii="Segoe UI" w:hAnsi="Segoe UI" w:eastAsia="Times New Roman" w:cs="Segoe UI"/>
          <w:kern w:val="0"/>
          <w:sz w:val="21"/>
          <w:szCs w:val="21"/>
          <w:lang w:eastAsia="en-GB"/>
          <w14:ligatures w14:val="none"/>
        </w:rPr>
        <w:t xml:space="preserve"> to increasingly complex ways of working with that knowledge. The lower levels of cognition—knowledge and comprehension—concern material knowledge: the secure understanding of texts, concepts, terminology, and contextual information. Higher cognitive processes—application, analysis, synthesis, and evaluation—constitute </w:t>
      </w:r>
      <w:r w:rsidRPr="00A517C2">
        <w:rPr>
          <w:rFonts w:ascii="Segoe UI" w:hAnsi="Segoe UI" w:eastAsia="Times New Roman" w:cs="Segoe UI"/>
          <w:b/>
          <w:bCs/>
          <w:kern w:val="0"/>
          <w:sz w:val="21"/>
          <w:szCs w:val="21"/>
          <w:lang w:eastAsia="en-GB"/>
          <w14:ligatures w14:val="none"/>
        </w:rPr>
        <w:t>methodological knowledge</w:t>
      </w:r>
      <w:r w:rsidRPr="00716436">
        <w:rPr>
          <w:rFonts w:ascii="Segoe UI" w:hAnsi="Segoe UI" w:eastAsia="Times New Roman" w:cs="Segoe UI"/>
          <w:kern w:val="0"/>
          <w:sz w:val="21"/>
          <w:szCs w:val="21"/>
          <w:lang w:eastAsia="en-GB"/>
          <w14:ligatures w14:val="none"/>
        </w:rPr>
        <w:t xml:space="preserve">: the disciplined methods through which learners interpret, critique, and generate meaning. </w:t>
      </w:r>
      <w:r w:rsidR="00225B07">
        <w:rPr>
          <w:rFonts w:ascii="Segoe UI" w:hAnsi="Segoe UI" w:eastAsia="Times New Roman" w:cs="Segoe UI"/>
          <w:kern w:val="0"/>
          <w:sz w:val="21"/>
          <w:szCs w:val="21"/>
          <w:lang w:eastAsia="en-GB"/>
          <w14:ligatures w14:val="none"/>
        </w:rPr>
        <w:t>DoE</w:t>
      </w:r>
      <w:r w:rsidRPr="00716436">
        <w:rPr>
          <w:rFonts w:ascii="Segoe UI" w:hAnsi="Segoe UI" w:eastAsia="Times New Roman" w:cs="Segoe UI"/>
          <w:kern w:val="0"/>
          <w:sz w:val="21"/>
          <w:szCs w:val="21"/>
          <w:lang w:eastAsia="en-GB"/>
          <w14:ligatures w14:val="none"/>
        </w:rPr>
        <w:t xml:space="preserve"> adopts this structure by recognising that critical analysis is not a generic skill but a method dependent upon secure literary knowledge. Students are therefore taught substantive content explicitly </w:t>
      </w:r>
      <w:r w:rsidR="00D60305">
        <w:rPr>
          <w:rFonts w:ascii="Segoe UI" w:hAnsi="Segoe UI" w:eastAsia="Times New Roman" w:cs="Segoe UI"/>
          <w:kern w:val="0"/>
          <w:sz w:val="21"/>
          <w:szCs w:val="21"/>
          <w:lang w:eastAsia="en-GB"/>
          <w14:ligatures w14:val="none"/>
        </w:rPr>
        <w:t>to be able to</w:t>
      </w:r>
      <w:r w:rsidRPr="00716436">
        <w:rPr>
          <w:rFonts w:ascii="Segoe UI" w:hAnsi="Segoe UI" w:eastAsia="Times New Roman" w:cs="Segoe UI"/>
          <w:kern w:val="0"/>
          <w:sz w:val="21"/>
          <w:szCs w:val="21"/>
          <w:lang w:eastAsia="en-GB"/>
          <w14:ligatures w14:val="none"/>
        </w:rPr>
        <w:t xml:space="preserve"> analyse, evaluate, or create interpretations. In aligning Bloom’s </w:t>
      </w:r>
      <w:r w:rsidRPr="00A517C2" w:rsidR="00D60305">
        <w:rPr>
          <w:rFonts w:ascii="Segoe UI" w:hAnsi="Segoe UI" w:eastAsia="Times New Roman" w:cs="Segoe UI"/>
          <w:b/>
          <w:bCs/>
          <w:kern w:val="0"/>
          <w:sz w:val="21"/>
          <w:szCs w:val="21"/>
          <w:lang w:eastAsia="en-GB"/>
          <w14:ligatures w14:val="none"/>
        </w:rPr>
        <w:t>distinction</w:t>
      </w:r>
      <w:r w:rsidRPr="00A517C2" w:rsidR="00884FF7">
        <w:rPr>
          <w:rFonts w:ascii="Segoe UI" w:hAnsi="Segoe UI" w:eastAsia="Times New Roman" w:cs="Segoe UI"/>
          <w:b/>
          <w:bCs/>
          <w:kern w:val="0"/>
          <w:sz w:val="21"/>
          <w:szCs w:val="21"/>
          <w:lang w:eastAsia="en-GB"/>
          <w14:ligatures w14:val="none"/>
        </w:rPr>
        <w:t xml:space="preserve"> between the material and the methodological knowledge</w:t>
      </w:r>
      <w:r w:rsidR="00884FF7">
        <w:rPr>
          <w:rFonts w:ascii="Segoe UI" w:hAnsi="Segoe UI" w:eastAsia="Times New Roman" w:cs="Segoe UI"/>
          <w:kern w:val="0"/>
          <w:sz w:val="21"/>
          <w:szCs w:val="21"/>
          <w:lang w:eastAsia="en-GB"/>
          <w14:ligatures w14:val="none"/>
        </w:rPr>
        <w:t>, DoE</w:t>
      </w:r>
      <w:r w:rsidRPr="00716436">
        <w:rPr>
          <w:rFonts w:ascii="Segoe UI" w:hAnsi="Segoe UI" w:eastAsia="Times New Roman" w:cs="Segoe UI"/>
          <w:kern w:val="0"/>
          <w:sz w:val="21"/>
          <w:szCs w:val="21"/>
          <w:lang w:eastAsia="en-GB"/>
          <w14:ligatures w14:val="none"/>
        </w:rPr>
        <w:t xml:space="preserve"> ensures that </w:t>
      </w:r>
      <w:r w:rsidR="00884FF7">
        <w:rPr>
          <w:rFonts w:ascii="Segoe UI" w:hAnsi="Segoe UI" w:eastAsia="Times New Roman" w:cs="Segoe UI"/>
          <w:kern w:val="0"/>
          <w:sz w:val="21"/>
          <w:szCs w:val="21"/>
          <w:lang w:eastAsia="en-GB"/>
          <w14:ligatures w14:val="none"/>
        </w:rPr>
        <w:t>analytical</w:t>
      </w:r>
      <w:r w:rsidRPr="00716436">
        <w:rPr>
          <w:rFonts w:ascii="Segoe UI" w:hAnsi="Segoe UI" w:eastAsia="Times New Roman" w:cs="Segoe UI"/>
          <w:kern w:val="0"/>
          <w:sz w:val="21"/>
          <w:szCs w:val="21"/>
          <w:lang w:eastAsia="en-GB"/>
          <w14:ligatures w14:val="none"/>
        </w:rPr>
        <w:t xml:space="preserve"> sophistication emerges from knowledge mastery, allowing literary criticism to be both cognitively rigorous and intellectually authentic.</w:t>
      </w:r>
    </w:p>
    <w:p w:rsidRPr="00716436" w:rsidR="00716436" w:rsidP="00A641B0" w:rsidRDefault="00716436" w14:paraId="002A610B" w14:textId="77777777"/>
    <w:p w:rsidR="0061537C" w:rsidP="0061537C" w:rsidRDefault="0061537C" w14:paraId="3AF1F0EF" w14:textId="5CF01BFA">
      <w:pPr>
        <w:pStyle w:val="Heading2"/>
      </w:pPr>
      <w:r>
        <w:t>Joseph Sweller</w:t>
      </w:r>
      <w:r w:rsidR="00545CAD">
        <w:t xml:space="preserve">, </w:t>
      </w:r>
      <w:r w:rsidR="00545CAD">
        <w:rPr>
          <w:i/>
          <w:iCs/>
        </w:rPr>
        <w:t>Cognitive Load Theory</w:t>
      </w:r>
      <w:r w:rsidR="00545CAD">
        <w:t>:</w:t>
      </w:r>
    </w:p>
    <w:p w:rsidR="003D35F7" w:rsidP="00545CAD" w:rsidRDefault="00545CAD" w14:paraId="0B74AE2C" w14:textId="60876D6B">
      <w:pPr>
        <w:spacing w:after="0" w:line="300" w:lineRule="atLeast"/>
        <w:rPr>
          <w:rFonts w:ascii="Segoe UI" w:hAnsi="Segoe UI" w:eastAsia="Times New Roman" w:cs="Segoe UI"/>
          <w:kern w:val="0"/>
          <w:sz w:val="21"/>
          <w:szCs w:val="21"/>
          <w:lang w:eastAsia="en-GB"/>
          <w14:ligatures w14:val="none"/>
        </w:rPr>
      </w:pPr>
      <w:r w:rsidRPr="00545CAD">
        <w:rPr>
          <w:rFonts w:ascii="Segoe UI" w:hAnsi="Segoe UI" w:eastAsia="Times New Roman" w:cs="Segoe UI"/>
          <w:kern w:val="0"/>
          <w:sz w:val="21"/>
          <w:szCs w:val="21"/>
          <w:lang w:eastAsia="en-GB"/>
          <w14:ligatures w14:val="none"/>
        </w:rPr>
        <w:t xml:space="preserve">Joseph Sweller’s Cognitive Load Theory underpins </w:t>
      </w:r>
      <w:r>
        <w:rPr>
          <w:rFonts w:ascii="Segoe UI" w:hAnsi="Segoe UI" w:eastAsia="Times New Roman" w:cs="Segoe UI"/>
          <w:kern w:val="0"/>
          <w:sz w:val="21"/>
          <w:szCs w:val="21"/>
          <w:lang w:eastAsia="en-GB"/>
          <w14:ligatures w14:val="none"/>
        </w:rPr>
        <w:t>Discipline of English’s</w:t>
      </w:r>
      <w:r w:rsidRPr="00545CAD">
        <w:rPr>
          <w:rFonts w:ascii="Segoe UI" w:hAnsi="Segoe UI" w:eastAsia="Times New Roman" w:cs="Segoe UI"/>
          <w:kern w:val="0"/>
          <w:sz w:val="21"/>
          <w:szCs w:val="21"/>
          <w:lang w:eastAsia="en-GB"/>
          <w14:ligatures w14:val="none"/>
        </w:rPr>
        <w:t xml:space="preserve"> commitment to purposeful, </w:t>
      </w:r>
      <w:r w:rsidRPr="004647CF">
        <w:rPr>
          <w:rFonts w:ascii="Segoe UI" w:hAnsi="Segoe UI" w:eastAsia="Times New Roman" w:cs="Segoe UI"/>
          <w:b/>
          <w:bCs/>
          <w:kern w:val="0"/>
          <w:sz w:val="21"/>
          <w:szCs w:val="21"/>
          <w:lang w:eastAsia="en-GB"/>
          <w14:ligatures w14:val="none"/>
        </w:rPr>
        <w:t>knowledge</w:t>
      </w:r>
      <w:r w:rsidRPr="004647CF">
        <w:rPr>
          <w:rFonts w:ascii="Segoe UI" w:hAnsi="Segoe UI" w:eastAsia="Times New Roman" w:cs="Segoe UI"/>
          <w:b/>
          <w:bCs/>
          <w:kern w:val="0"/>
          <w:sz w:val="21"/>
          <w:szCs w:val="21"/>
          <w:lang w:eastAsia="en-GB"/>
          <w14:ligatures w14:val="none"/>
        </w:rPr>
        <w:noBreakHyphen/>
      </w:r>
      <w:r w:rsidRPr="004647CF">
        <w:rPr>
          <w:rFonts w:ascii="Segoe UI" w:hAnsi="Segoe UI" w:eastAsia="Times New Roman" w:cs="Segoe UI"/>
          <w:b/>
          <w:bCs/>
          <w:kern w:val="0"/>
          <w:sz w:val="21"/>
          <w:szCs w:val="21"/>
          <w:lang w:eastAsia="en-GB"/>
          <w14:ligatures w14:val="none"/>
        </w:rPr>
        <w:t>rich</w:t>
      </w:r>
      <w:r w:rsidRPr="00545CAD">
        <w:rPr>
          <w:rFonts w:ascii="Segoe UI" w:hAnsi="Segoe UI" w:eastAsia="Times New Roman" w:cs="Segoe UI"/>
          <w:kern w:val="0"/>
          <w:sz w:val="21"/>
          <w:szCs w:val="21"/>
          <w:lang w:eastAsia="en-GB"/>
          <w14:ligatures w14:val="none"/>
        </w:rPr>
        <w:t xml:space="preserve"> literature instruction. </w:t>
      </w:r>
      <w:proofErr w:type="spellStart"/>
      <w:r w:rsidRPr="00545CAD">
        <w:rPr>
          <w:rFonts w:ascii="Segoe UI" w:hAnsi="Segoe UI" w:eastAsia="Times New Roman" w:cs="Segoe UI"/>
          <w:kern w:val="0"/>
          <w:sz w:val="21"/>
          <w:szCs w:val="21"/>
          <w:lang w:eastAsia="en-GB"/>
          <w14:ligatures w14:val="none"/>
        </w:rPr>
        <w:t>Sweller</w:t>
      </w:r>
      <w:proofErr w:type="spellEnd"/>
      <w:r w:rsidRPr="00545CAD">
        <w:rPr>
          <w:rFonts w:ascii="Segoe UI" w:hAnsi="Segoe UI" w:eastAsia="Times New Roman" w:cs="Segoe UI"/>
          <w:kern w:val="0"/>
          <w:sz w:val="21"/>
          <w:szCs w:val="21"/>
          <w:lang w:eastAsia="en-GB"/>
          <w14:ligatures w14:val="none"/>
        </w:rPr>
        <w:t xml:space="preserve"> demonstrates that learning is constrained by the </w:t>
      </w:r>
      <w:r w:rsidRPr="004647CF">
        <w:rPr>
          <w:rFonts w:ascii="Segoe UI" w:hAnsi="Segoe UI" w:eastAsia="Times New Roman" w:cs="Segoe UI"/>
          <w:b/>
          <w:bCs/>
          <w:kern w:val="0"/>
          <w:sz w:val="21"/>
          <w:szCs w:val="21"/>
          <w:lang w:eastAsia="en-GB"/>
          <w14:ligatures w14:val="none"/>
        </w:rPr>
        <w:t>limited capacity of working memory</w:t>
      </w:r>
      <w:r w:rsidRPr="00545CAD">
        <w:rPr>
          <w:rFonts w:ascii="Segoe UI" w:hAnsi="Segoe UI" w:eastAsia="Times New Roman" w:cs="Segoe UI"/>
          <w:kern w:val="0"/>
          <w:sz w:val="21"/>
          <w:szCs w:val="21"/>
          <w:lang w:eastAsia="en-GB"/>
          <w14:ligatures w14:val="none"/>
        </w:rPr>
        <w:t xml:space="preserve"> and that instruction must be carefully designed to </w:t>
      </w:r>
      <w:r w:rsidRPr="004647CF">
        <w:rPr>
          <w:rFonts w:ascii="Segoe UI" w:hAnsi="Segoe UI" w:eastAsia="Times New Roman" w:cs="Segoe UI"/>
          <w:b/>
          <w:bCs/>
          <w:kern w:val="0"/>
          <w:sz w:val="21"/>
          <w:szCs w:val="21"/>
          <w:lang w:eastAsia="en-GB"/>
          <w14:ligatures w14:val="none"/>
        </w:rPr>
        <w:t>avoid cognitive overload</w:t>
      </w:r>
      <w:r w:rsidRPr="00545CAD">
        <w:rPr>
          <w:rFonts w:ascii="Segoe UI" w:hAnsi="Segoe UI" w:eastAsia="Times New Roman" w:cs="Segoe UI"/>
          <w:kern w:val="0"/>
          <w:sz w:val="21"/>
          <w:szCs w:val="21"/>
          <w:lang w:eastAsia="en-GB"/>
          <w14:ligatures w14:val="none"/>
        </w:rPr>
        <w:t xml:space="preserve">. </w:t>
      </w:r>
      <w:proofErr w:type="spellStart"/>
      <w:r w:rsidR="00E241FC">
        <w:rPr>
          <w:rFonts w:ascii="Segoe UI" w:hAnsi="Segoe UI" w:eastAsia="Times New Roman" w:cs="Segoe UI"/>
          <w:kern w:val="0"/>
          <w:sz w:val="21"/>
          <w:szCs w:val="21"/>
          <w:lang w:eastAsia="en-GB"/>
          <w14:ligatures w14:val="none"/>
        </w:rPr>
        <w:t>Sweller</w:t>
      </w:r>
      <w:proofErr w:type="spellEnd"/>
      <w:r w:rsidR="00E241FC">
        <w:rPr>
          <w:rFonts w:ascii="Segoe UI" w:hAnsi="Segoe UI" w:eastAsia="Times New Roman" w:cs="Segoe UI"/>
          <w:kern w:val="0"/>
          <w:sz w:val="21"/>
          <w:szCs w:val="21"/>
          <w:lang w:eastAsia="en-GB"/>
          <w14:ligatures w14:val="none"/>
        </w:rPr>
        <w:t xml:space="preserve"> explains how drawing knowledge form Long Term Memory significantly eases the cognitive load, but learning needs to be carefully sequence so that the knowledge needs of future units have been passed into LTM</w:t>
      </w:r>
      <w:r w:rsidR="003D35F7">
        <w:rPr>
          <w:rFonts w:ascii="Segoe UI" w:hAnsi="Segoe UI" w:eastAsia="Times New Roman" w:cs="Segoe UI"/>
          <w:kern w:val="0"/>
          <w:sz w:val="21"/>
          <w:szCs w:val="21"/>
          <w:lang w:eastAsia="en-GB"/>
          <w14:ligatures w14:val="none"/>
        </w:rPr>
        <w:t xml:space="preserve"> </w:t>
      </w:r>
      <w:r w:rsidR="00D45F36">
        <w:rPr>
          <w:rFonts w:ascii="Segoe UI" w:hAnsi="Segoe UI" w:eastAsia="Times New Roman" w:cs="Segoe UI"/>
          <w:kern w:val="0"/>
          <w:sz w:val="21"/>
          <w:szCs w:val="21"/>
          <w:lang w:eastAsia="en-GB"/>
          <w14:ligatures w14:val="none"/>
        </w:rPr>
        <w:t>earlier in the learning sequence</w:t>
      </w:r>
      <w:r w:rsidR="003D35F7">
        <w:rPr>
          <w:rFonts w:ascii="Segoe UI" w:hAnsi="Segoe UI" w:eastAsia="Times New Roman" w:cs="Segoe UI"/>
          <w:kern w:val="0"/>
          <w:sz w:val="21"/>
          <w:szCs w:val="21"/>
          <w:lang w:eastAsia="en-GB"/>
          <w14:ligatures w14:val="none"/>
        </w:rPr>
        <w:t xml:space="preserve">. </w:t>
      </w:r>
    </w:p>
    <w:p w:rsidR="00EC0D79" w:rsidP="00545CAD" w:rsidRDefault="00545CAD" w14:paraId="5B7D66A7" w14:textId="7181F9E9">
      <w:pPr>
        <w:spacing w:after="0" w:line="300" w:lineRule="atLeast"/>
        <w:rPr>
          <w:rFonts w:ascii="Segoe UI" w:hAnsi="Segoe UI" w:eastAsia="Times New Roman" w:cs="Segoe UI"/>
          <w:kern w:val="0"/>
          <w:sz w:val="21"/>
          <w:szCs w:val="21"/>
          <w:lang w:eastAsia="en-GB"/>
          <w14:ligatures w14:val="none"/>
        </w:rPr>
      </w:pPr>
      <w:r>
        <w:rPr>
          <w:rFonts w:ascii="Segoe UI" w:hAnsi="Segoe UI" w:eastAsia="Times New Roman" w:cs="Segoe UI"/>
          <w:kern w:val="0"/>
          <w:sz w:val="21"/>
          <w:szCs w:val="21"/>
          <w:lang w:eastAsia="en-GB"/>
          <w14:ligatures w14:val="none"/>
        </w:rPr>
        <w:t>DoE</w:t>
      </w:r>
      <w:r w:rsidRPr="00545CAD">
        <w:rPr>
          <w:rFonts w:ascii="Segoe UI" w:hAnsi="Segoe UI" w:eastAsia="Times New Roman" w:cs="Segoe UI"/>
          <w:kern w:val="0"/>
          <w:sz w:val="21"/>
          <w:szCs w:val="21"/>
          <w:lang w:eastAsia="en-GB"/>
          <w14:ligatures w14:val="none"/>
        </w:rPr>
        <w:t xml:space="preserve"> applies this principle by </w:t>
      </w:r>
      <w:r w:rsidR="00082370">
        <w:rPr>
          <w:rFonts w:ascii="Segoe UI" w:hAnsi="Segoe UI" w:eastAsia="Times New Roman" w:cs="Segoe UI"/>
          <w:kern w:val="0"/>
          <w:sz w:val="21"/>
          <w:szCs w:val="21"/>
          <w:lang w:eastAsia="en-GB"/>
          <w14:ligatures w14:val="none"/>
        </w:rPr>
        <w:t xml:space="preserve">making distinct the </w:t>
      </w:r>
      <w:proofErr w:type="spellStart"/>
      <w:r w:rsidR="00082370">
        <w:rPr>
          <w:rFonts w:ascii="Segoe UI" w:hAnsi="Segoe UI" w:eastAsia="Times New Roman" w:cs="Segoe UI"/>
          <w:kern w:val="0"/>
          <w:sz w:val="21"/>
          <w:szCs w:val="21"/>
          <w:lang w:eastAsia="en-GB"/>
          <w14:ligatures w14:val="none"/>
        </w:rPr>
        <w:t>Methodoloical</w:t>
      </w:r>
      <w:proofErr w:type="spellEnd"/>
      <w:r w:rsidR="00082370">
        <w:rPr>
          <w:rFonts w:ascii="Segoe UI" w:hAnsi="Segoe UI" w:eastAsia="Times New Roman" w:cs="Segoe UI"/>
          <w:kern w:val="0"/>
          <w:sz w:val="21"/>
          <w:szCs w:val="21"/>
          <w:lang w:eastAsia="en-GB"/>
          <w14:ligatures w14:val="none"/>
        </w:rPr>
        <w:t xml:space="preserve"> Knowledge and the Material Knowledge as two separate </w:t>
      </w:r>
      <w:r w:rsidR="00845BE6">
        <w:rPr>
          <w:rFonts w:ascii="Segoe UI" w:hAnsi="Segoe UI" w:eastAsia="Times New Roman" w:cs="Segoe UI"/>
          <w:kern w:val="0"/>
          <w:sz w:val="21"/>
          <w:szCs w:val="21"/>
          <w:lang w:eastAsia="en-GB"/>
          <w14:ligatures w14:val="none"/>
        </w:rPr>
        <w:t xml:space="preserve">forms of cognitive load. When both are high, students are less able to </w:t>
      </w:r>
      <w:r w:rsidR="005C0209">
        <w:rPr>
          <w:rFonts w:ascii="Segoe UI" w:hAnsi="Segoe UI" w:eastAsia="Times New Roman" w:cs="Segoe UI"/>
          <w:kern w:val="0"/>
          <w:sz w:val="21"/>
          <w:szCs w:val="21"/>
          <w:lang w:eastAsia="en-GB"/>
          <w14:ligatures w14:val="none"/>
        </w:rPr>
        <w:t xml:space="preserve">make sense of the </w:t>
      </w:r>
      <w:proofErr w:type="gramStart"/>
      <w:r w:rsidR="005C0209">
        <w:rPr>
          <w:rFonts w:ascii="Segoe UI" w:hAnsi="Segoe UI" w:eastAsia="Times New Roman" w:cs="Segoe UI"/>
          <w:kern w:val="0"/>
          <w:sz w:val="21"/>
          <w:szCs w:val="21"/>
          <w:lang w:eastAsia="en-GB"/>
          <w14:ligatures w14:val="none"/>
        </w:rPr>
        <w:t>learning, and</w:t>
      </w:r>
      <w:proofErr w:type="gramEnd"/>
      <w:r w:rsidR="005C0209">
        <w:rPr>
          <w:rFonts w:ascii="Segoe UI" w:hAnsi="Segoe UI" w:eastAsia="Times New Roman" w:cs="Segoe UI"/>
          <w:kern w:val="0"/>
          <w:sz w:val="21"/>
          <w:szCs w:val="21"/>
          <w:lang w:eastAsia="en-GB"/>
          <w14:ligatures w14:val="none"/>
        </w:rPr>
        <w:t xml:space="preserve"> </w:t>
      </w:r>
      <w:r w:rsidR="00BC1836">
        <w:rPr>
          <w:rFonts w:ascii="Segoe UI" w:hAnsi="Segoe UI" w:eastAsia="Times New Roman" w:cs="Segoe UI"/>
          <w:kern w:val="0"/>
          <w:sz w:val="21"/>
          <w:szCs w:val="21"/>
          <w:lang w:eastAsia="en-GB"/>
          <w14:ligatures w14:val="none"/>
        </w:rPr>
        <w:t>inhibited from</w:t>
      </w:r>
      <w:r w:rsidR="005C0209">
        <w:rPr>
          <w:rFonts w:ascii="Segoe UI" w:hAnsi="Segoe UI" w:eastAsia="Times New Roman" w:cs="Segoe UI"/>
          <w:kern w:val="0"/>
          <w:sz w:val="21"/>
          <w:szCs w:val="21"/>
          <w:lang w:eastAsia="en-GB"/>
          <w14:ligatures w14:val="none"/>
        </w:rPr>
        <w:t xml:space="preserve"> pass</w:t>
      </w:r>
      <w:r w:rsidR="00BC1836">
        <w:rPr>
          <w:rFonts w:ascii="Segoe UI" w:hAnsi="Segoe UI" w:eastAsia="Times New Roman" w:cs="Segoe UI"/>
          <w:kern w:val="0"/>
          <w:sz w:val="21"/>
          <w:szCs w:val="21"/>
          <w:lang w:eastAsia="en-GB"/>
          <w14:ligatures w14:val="none"/>
        </w:rPr>
        <w:t>ing</w:t>
      </w:r>
      <w:r w:rsidR="005C0209">
        <w:rPr>
          <w:rFonts w:ascii="Segoe UI" w:hAnsi="Segoe UI" w:eastAsia="Times New Roman" w:cs="Segoe UI"/>
          <w:kern w:val="0"/>
          <w:sz w:val="21"/>
          <w:szCs w:val="21"/>
          <w:lang w:eastAsia="en-GB"/>
          <w14:ligatures w14:val="none"/>
        </w:rPr>
        <w:t xml:space="preserve"> this learning to </w:t>
      </w:r>
      <w:r w:rsidR="003D35F7">
        <w:rPr>
          <w:rFonts w:ascii="Segoe UI" w:hAnsi="Segoe UI" w:eastAsia="Times New Roman" w:cs="Segoe UI"/>
          <w:kern w:val="0"/>
          <w:sz w:val="21"/>
          <w:szCs w:val="21"/>
          <w:lang w:eastAsia="en-GB"/>
          <w14:ligatures w14:val="none"/>
        </w:rPr>
        <w:t>LTM</w:t>
      </w:r>
      <w:r w:rsidR="005C0209">
        <w:rPr>
          <w:rFonts w:ascii="Segoe UI" w:hAnsi="Segoe UI" w:eastAsia="Times New Roman" w:cs="Segoe UI"/>
          <w:kern w:val="0"/>
          <w:sz w:val="21"/>
          <w:szCs w:val="21"/>
          <w:lang w:eastAsia="en-GB"/>
          <w14:ligatures w14:val="none"/>
        </w:rPr>
        <w:t>.</w:t>
      </w:r>
      <w:r w:rsidR="00D47678">
        <w:rPr>
          <w:rFonts w:ascii="Segoe UI" w:hAnsi="Segoe UI" w:eastAsia="Times New Roman" w:cs="Segoe UI"/>
          <w:kern w:val="0"/>
          <w:sz w:val="21"/>
          <w:szCs w:val="21"/>
          <w:lang w:eastAsia="en-GB"/>
          <w14:ligatures w14:val="none"/>
        </w:rPr>
        <w:t xml:space="preserve"> </w:t>
      </w:r>
      <w:r w:rsidR="00215B3C">
        <w:rPr>
          <w:rFonts w:ascii="Segoe UI" w:hAnsi="Segoe UI" w:eastAsia="Times New Roman" w:cs="Segoe UI"/>
          <w:kern w:val="0"/>
          <w:sz w:val="21"/>
          <w:szCs w:val="21"/>
          <w:lang w:eastAsia="en-GB"/>
          <w14:ligatures w14:val="none"/>
        </w:rPr>
        <w:t xml:space="preserve">At higher levels of education, </w:t>
      </w:r>
      <w:proofErr w:type="gramStart"/>
      <w:r w:rsidR="00215B3C">
        <w:rPr>
          <w:rFonts w:ascii="Segoe UI" w:hAnsi="Segoe UI" w:eastAsia="Times New Roman" w:cs="Segoe UI"/>
          <w:kern w:val="0"/>
          <w:sz w:val="21"/>
          <w:szCs w:val="21"/>
          <w:lang w:eastAsia="en-GB"/>
          <w14:ligatures w14:val="none"/>
        </w:rPr>
        <w:t>both of these</w:t>
      </w:r>
      <w:proofErr w:type="gramEnd"/>
      <w:r w:rsidR="00215B3C">
        <w:rPr>
          <w:rFonts w:ascii="Segoe UI" w:hAnsi="Segoe UI" w:eastAsia="Times New Roman" w:cs="Segoe UI"/>
          <w:kern w:val="0"/>
          <w:sz w:val="21"/>
          <w:szCs w:val="21"/>
          <w:lang w:eastAsia="en-GB"/>
          <w14:ligatures w14:val="none"/>
        </w:rPr>
        <w:t xml:space="preserve"> can be considered mandatory knowledge forms</w:t>
      </w:r>
      <w:r w:rsidR="00EC0D79">
        <w:rPr>
          <w:rFonts w:ascii="Segoe UI" w:hAnsi="Segoe UI" w:eastAsia="Times New Roman" w:cs="Segoe UI"/>
          <w:kern w:val="0"/>
          <w:sz w:val="21"/>
          <w:szCs w:val="21"/>
          <w:lang w:eastAsia="en-GB"/>
          <w14:ligatures w14:val="none"/>
        </w:rPr>
        <w:t xml:space="preserve">, and so having one </w:t>
      </w:r>
      <w:r w:rsidRPr="006E7CE3" w:rsidR="00EC0D79">
        <w:rPr>
          <w:rFonts w:ascii="Segoe UI" w:hAnsi="Segoe UI" w:eastAsia="Times New Roman" w:cs="Segoe UI"/>
          <w:b/>
          <w:bCs/>
          <w:kern w:val="0"/>
          <w:sz w:val="21"/>
          <w:szCs w:val="21"/>
          <w:lang w:eastAsia="en-GB"/>
          <w14:ligatures w14:val="none"/>
        </w:rPr>
        <w:t xml:space="preserve">stored in LTM for recall is </w:t>
      </w:r>
      <w:r w:rsidRPr="006E7CE3" w:rsidR="00807813">
        <w:rPr>
          <w:rFonts w:ascii="Segoe UI" w:hAnsi="Segoe UI" w:eastAsia="Times New Roman" w:cs="Segoe UI"/>
          <w:b/>
          <w:bCs/>
          <w:kern w:val="0"/>
          <w:sz w:val="21"/>
          <w:szCs w:val="21"/>
          <w:lang w:eastAsia="en-GB"/>
          <w14:ligatures w14:val="none"/>
        </w:rPr>
        <w:t>essential</w:t>
      </w:r>
      <w:r w:rsidR="00EC0D79">
        <w:rPr>
          <w:rFonts w:ascii="Segoe UI" w:hAnsi="Segoe UI" w:eastAsia="Times New Roman" w:cs="Segoe UI"/>
          <w:kern w:val="0"/>
          <w:sz w:val="21"/>
          <w:szCs w:val="21"/>
          <w:lang w:eastAsia="en-GB"/>
          <w14:ligatures w14:val="none"/>
        </w:rPr>
        <w:t xml:space="preserve"> to ease cognitive load. </w:t>
      </w:r>
      <w:r w:rsidR="00A7583A">
        <w:rPr>
          <w:rFonts w:ascii="Segoe UI" w:hAnsi="Segoe UI" w:eastAsia="Times New Roman" w:cs="Segoe UI"/>
          <w:kern w:val="0"/>
          <w:sz w:val="21"/>
          <w:szCs w:val="21"/>
          <w:lang w:eastAsia="en-GB"/>
          <w14:ligatures w14:val="none"/>
        </w:rPr>
        <w:t>The choice in effect then, should the higher ed. material or methodological knowledge be studied in lower education?</w:t>
      </w:r>
    </w:p>
    <w:p w:rsidR="00AC054B" w:rsidP="00A92A17" w:rsidRDefault="00873C7F" w14:paraId="648544A4" w14:textId="77777777">
      <w:pPr>
        <w:spacing w:after="0" w:line="300" w:lineRule="atLeast"/>
        <w:rPr>
          <w:rFonts w:ascii="Segoe UI" w:hAnsi="Segoe UI" w:eastAsia="Times New Roman" w:cs="Segoe UI"/>
          <w:kern w:val="0"/>
          <w:sz w:val="21"/>
          <w:szCs w:val="21"/>
          <w:lang w:eastAsia="en-GB"/>
          <w14:ligatures w14:val="none"/>
        </w:rPr>
      </w:pPr>
      <w:r>
        <w:rPr>
          <w:rFonts w:ascii="Segoe UI" w:hAnsi="Segoe UI" w:eastAsia="Times New Roman" w:cs="Segoe UI"/>
          <w:kern w:val="0"/>
          <w:sz w:val="21"/>
          <w:szCs w:val="21"/>
          <w:lang w:eastAsia="en-GB"/>
          <w14:ligatures w14:val="none"/>
        </w:rPr>
        <w:t xml:space="preserve">To answer this, we should recognise when material is arbitrary and when it is mandatory. </w:t>
      </w:r>
      <w:r w:rsidR="00D47678">
        <w:rPr>
          <w:rFonts w:ascii="Segoe UI" w:hAnsi="Segoe UI" w:eastAsia="Times New Roman" w:cs="Segoe UI"/>
          <w:kern w:val="0"/>
          <w:sz w:val="21"/>
          <w:szCs w:val="21"/>
          <w:lang w:eastAsia="en-GB"/>
          <w14:ligatures w14:val="none"/>
        </w:rPr>
        <w:t xml:space="preserve">At lower levels of education, the text </w:t>
      </w:r>
      <w:r w:rsidR="00FC2AAE">
        <w:rPr>
          <w:rFonts w:ascii="Segoe UI" w:hAnsi="Segoe UI" w:eastAsia="Times New Roman" w:cs="Segoe UI"/>
          <w:kern w:val="0"/>
          <w:sz w:val="21"/>
          <w:szCs w:val="21"/>
          <w:lang w:eastAsia="en-GB"/>
          <w14:ligatures w14:val="none"/>
        </w:rPr>
        <w:t xml:space="preserve">is effectively </w:t>
      </w:r>
      <w:r w:rsidR="00D47678">
        <w:rPr>
          <w:rFonts w:ascii="Segoe UI" w:hAnsi="Segoe UI" w:eastAsia="Times New Roman" w:cs="Segoe UI"/>
          <w:kern w:val="0"/>
          <w:sz w:val="21"/>
          <w:szCs w:val="21"/>
          <w:lang w:eastAsia="en-GB"/>
          <w14:ligatures w14:val="none"/>
        </w:rPr>
        <w:t>arbitrary</w:t>
      </w:r>
      <w:r w:rsidR="00FC2AAE">
        <w:rPr>
          <w:rFonts w:ascii="Segoe UI" w:hAnsi="Segoe UI" w:eastAsia="Times New Roman" w:cs="Segoe UI"/>
          <w:kern w:val="0"/>
          <w:sz w:val="21"/>
          <w:szCs w:val="21"/>
          <w:lang w:eastAsia="en-GB"/>
          <w14:ligatures w14:val="none"/>
        </w:rPr>
        <w:t xml:space="preserve">; it doesn’t matter whether the text being studied is a poem, a novel, </w:t>
      </w:r>
      <w:r w:rsidR="00B81B45">
        <w:rPr>
          <w:rFonts w:ascii="Segoe UI" w:hAnsi="Segoe UI" w:eastAsia="Times New Roman" w:cs="Segoe UI"/>
          <w:kern w:val="0"/>
          <w:sz w:val="21"/>
          <w:szCs w:val="21"/>
          <w:lang w:eastAsia="en-GB"/>
          <w14:ligatures w14:val="none"/>
        </w:rPr>
        <w:t>a play, a diary, so long as that text is a good example of the methodological principles</w:t>
      </w:r>
      <w:r w:rsidR="00D47678">
        <w:rPr>
          <w:rFonts w:ascii="Segoe UI" w:hAnsi="Segoe UI" w:eastAsia="Times New Roman" w:cs="Segoe UI"/>
          <w:kern w:val="0"/>
          <w:sz w:val="21"/>
          <w:szCs w:val="21"/>
          <w:lang w:eastAsia="en-GB"/>
          <w14:ligatures w14:val="none"/>
        </w:rPr>
        <w:t xml:space="preserve">. </w:t>
      </w:r>
      <w:r w:rsidR="00393F5F">
        <w:rPr>
          <w:rFonts w:ascii="Segoe UI" w:hAnsi="Segoe UI" w:eastAsia="Times New Roman" w:cs="Segoe UI"/>
          <w:kern w:val="0"/>
          <w:sz w:val="21"/>
          <w:szCs w:val="21"/>
          <w:lang w:eastAsia="en-GB"/>
          <w14:ligatures w14:val="none"/>
        </w:rPr>
        <w:t xml:space="preserve">This means that the methodological knowledge should be prioritised, repeated and recalled, so that that when the </w:t>
      </w:r>
      <w:r w:rsidR="00393F5F">
        <w:rPr>
          <w:rFonts w:ascii="Segoe UI" w:hAnsi="Segoe UI" w:eastAsia="Times New Roman" w:cs="Segoe UI"/>
          <w:kern w:val="0"/>
          <w:sz w:val="21"/>
          <w:szCs w:val="21"/>
          <w:lang w:eastAsia="en-GB"/>
          <w14:ligatures w14:val="none"/>
        </w:rPr>
        <w:t xml:space="preserve">material text of higher education is mandatory, </w:t>
      </w:r>
      <w:r w:rsidR="002B1BF9">
        <w:rPr>
          <w:rFonts w:ascii="Segoe UI" w:hAnsi="Segoe UI" w:eastAsia="Times New Roman" w:cs="Segoe UI"/>
          <w:kern w:val="0"/>
          <w:sz w:val="21"/>
          <w:szCs w:val="21"/>
          <w:lang w:eastAsia="en-GB"/>
          <w14:ligatures w14:val="none"/>
        </w:rPr>
        <w:t>those disciplinary principles are being drawn from long term memory.</w:t>
      </w:r>
      <w:r w:rsidR="00AC054B">
        <w:rPr>
          <w:rFonts w:ascii="Segoe UI" w:hAnsi="Segoe UI" w:eastAsia="Times New Roman" w:cs="Segoe UI"/>
          <w:kern w:val="0"/>
          <w:sz w:val="21"/>
          <w:szCs w:val="21"/>
          <w:lang w:eastAsia="en-GB"/>
          <w14:ligatures w14:val="none"/>
        </w:rPr>
        <w:t xml:space="preserve"> </w:t>
      </w:r>
    </w:p>
    <w:p w:rsidR="00A92A17" w:rsidP="00A92A17" w:rsidRDefault="00AC054B" w14:paraId="1A2773F0" w14:textId="5B8309F9">
      <w:pPr>
        <w:spacing w:after="0" w:line="300" w:lineRule="atLeast"/>
        <w:rPr>
          <w:rFonts w:ascii="Segoe UI" w:hAnsi="Segoe UI" w:eastAsia="Times New Roman" w:cs="Segoe UI"/>
          <w:kern w:val="0"/>
          <w:sz w:val="21"/>
          <w:szCs w:val="21"/>
          <w:lang w:eastAsia="en-GB"/>
          <w14:ligatures w14:val="none"/>
        </w:rPr>
      </w:pPr>
      <w:r>
        <w:rPr>
          <w:rFonts w:ascii="Segoe UI" w:hAnsi="Segoe UI" w:eastAsia="Times New Roman" w:cs="Segoe UI"/>
          <w:kern w:val="0"/>
          <w:sz w:val="21"/>
          <w:szCs w:val="21"/>
          <w:lang w:eastAsia="en-GB"/>
          <w14:ligatures w14:val="none"/>
        </w:rPr>
        <w:t xml:space="preserve">This sequence of methodological learning first, </w:t>
      </w:r>
      <w:r w:rsidR="006B25A7">
        <w:rPr>
          <w:rFonts w:ascii="Segoe UI" w:hAnsi="Segoe UI" w:eastAsia="Times New Roman" w:cs="Segoe UI"/>
          <w:kern w:val="0"/>
          <w:sz w:val="21"/>
          <w:szCs w:val="21"/>
          <w:lang w:eastAsia="en-GB"/>
          <w14:ligatures w14:val="none"/>
        </w:rPr>
        <w:t xml:space="preserve">material second, is how DoE engages with </w:t>
      </w:r>
      <w:proofErr w:type="spellStart"/>
      <w:r w:rsidR="006B25A7">
        <w:rPr>
          <w:rFonts w:ascii="Segoe UI" w:hAnsi="Segoe UI" w:eastAsia="Times New Roman" w:cs="Segoe UI"/>
          <w:kern w:val="0"/>
          <w:sz w:val="21"/>
          <w:szCs w:val="21"/>
          <w:lang w:eastAsia="en-GB"/>
          <w14:ligatures w14:val="none"/>
        </w:rPr>
        <w:t>Sweller’s</w:t>
      </w:r>
      <w:proofErr w:type="spellEnd"/>
      <w:r w:rsidR="006B25A7">
        <w:rPr>
          <w:rFonts w:ascii="Segoe UI" w:hAnsi="Segoe UI" w:eastAsia="Times New Roman" w:cs="Segoe UI"/>
          <w:kern w:val="0"/>
          <w:sz w:val="21"/>
          <w:szCs w:val="21"/>
          <w:lang w:eastAsia="en-GB"/>
          <w14:ligatures w14:val="none"/>
        </w:rPr>
        <w:t xml:space="preserve"> recommendations.</w:t>
      </w:r>
    </w:p>
    <w:p w:rsidRPr="00545CAD" w:rsidR="006B25A7" w:rsidP="00A92A17" w:rsidRDefault="006B25A7" w14:paraId="3F8CEBD4" w14:textId="77777777">
      <w:pPr>
        <w:spacing w:after="0" w:line="300" w:lineRule="atLeast"/>
        <w:rPr>
          <w:rFonts w:ascii="Segoe UI" w:hAnsi="Segoe UI" w:eastAsia="Times New Roman" w:cs="Segoe UI"/>
          <w:kern w:val="0"/>
          <w:sz w:val="21"/>
          <w:szCs w:val="21"/>
          <w:lang w:eastAsia="en-GB"/>
          <w14:ligatures w14:val="none"/>
        </w:rPr>
      </w:pPr>
    </w:p>
    <w:p w:rsidR="008C1BE5" w:rsidP="00E2112B" w:rsidRDefault="008C1BE5" w14:paraId="05312E16" w14:textId="77777777">
      <w:pPr>
        <w:pStyle w:val="Heading2"/>
        <w:rPr>
          <w:rFonts w:eastAsia="Times New Roman"/>
          <w:lang w:eastAsia="en-GB"/>
        </w:rPr>
      </w:pPr>
      <w:r>
        <w:rPr>
          <w:rFonts w:eastAsia="Times New Roman"/>
          <w:lang w:eastAsia="en-GB"/>
        </w:rPr>
        <w:t xml:space="preserve">Hirsch, </w:t>
      </w:r>
      <w:r w:rsidRPr="00E2112B">
        <w:rPr>
          <w:rFonts w:eastAsia="Times New Roman"/>
          <w:i/>
          <w:iCs/>
          <w:lang w:eastAsia="en-GB"/>
        </w:rPr>
        <w:t>Knowledge Rich Curriculum</w:t>
      </w:r>
    </w:p>
    <w:p w:rsidRPr="008C1BE5" w:rsidR="008C1BE5" w:rsidP="008C1BE5" w:rsidRDefault="008C1BE5" w14:paraId="4D2AE6F4" w14:textId="768E5B1C">
      <w:pPr>
        <w:spacing w:after="0" w:line="300" w:lineRule="atLeast"/>
        <w:rPr>
          <w:rFonts w:ascii="Segoe UI" w:hAnsi="Segoe UI" w:eastAsia="Times New Roman" w:cs="Segoe UI"/>
          <w:kern w:val="0"/>
          <w:sz w:val="21"/>
          <w:szCs w:val="21"/>
          <w:lang w:eastAsia="en-GB"/>
          <w14:ligatures w14:val="none"/>
        </w:rPr>
      </w:pPr>
      <w:r w:rsidRPr="008C1BE5">
        <w:rPr>
          <w:rFonts w:ascii="Segoe UI" w:hAnsi="Segoe UI" w:eastAsia="Times New Roman" w:cs="Segoe UI"/>
          <w:kern w:val="0"/>
          <w:sz w:val="21"/>
          <w:szCs w:val="21"/>
          <w:lang w:eastAsia="en-GB"/>
          <w14:ligatures w14:val="none"/>
        </w:rPr>
        <w:t xml:space="preserve">E. D. Hirsch Jr.’s work provides a foundational justification for </w:t>
      </w:r>
      <w:r w:rsidR="00E2112B">
        <w:rPr>
          <w:rFonts w:ascii="Segoe UI" w:hAnsi="Segoe UI" w:eastAsia="Times New Roman" w:cs="Segoe UI"/>
          <w:kern w:val="0"/>
          <w:sz w:val="21"/>
          <w:szCs w:val="21"/>
          <w:lang w:eastAsia="en-GB"/>
          <w14:ligatures w14:val="none"/>
        </w:rPr>
        <w:t>DoE</w:t>
      </w:r>
      <w:r w:rsidRPr="008C1BE5">
        <w:rPr>
          <w:rFonts w:ascii="Segoe UI" w:hAnsi="Segoe UI" w:eastAsia="Times New Roman" w:cs="Segoe UI"/>
          <w:kern w:val="0"/>
          <w:sz w:val="21"/>
          <w:szCs w:val="21"/>
          <w:lang w:eastAsia="en-GB"/>
          <w14:ligatures w14:val="none"/>
        </w:rPr>
        <w:t xml:space="preserve"> commitment to </w:t>
      </w:r>
      <w:proofErr w:type="gramStart"/>
      <w:r w:rsidRPr="008C1BE5">
        <w:rPr>
          <w:rFonts w:ascii="Segoe UI" w:hAnsi="Segoe UI" w:eastAsia="Times New Roman" w:cs="Segoe UI"/>
          <w:kern w:val="0"/>
          <w:sz w:val="21"/>
          <w:szCs w:val="21"/>
          <w:lang w:eastAsia="en-GB"/>
          <w14:ligatures w14:val="none"/>
        </w:rPr>
        <w:t>a</w:t>
      </w:r>
      <w:proofErr w:type="gramEnd"/>
      <w:r w:rsidRPr="008C1BE5">
        <w:rPr>
          <w:rFonts w:ascii="Segoe UI" w:hAnsi="Segoe UI" w:eastAsia="Times New Roman" w:cs="Segoe UI"/>
          <w:kern w:val="0"/>
          <w:sz w:val="21"/>
          <w:szCs w:val="21"/>
          <w:lang w:eastAsia="en-GB"/>
          <w14:ligatures w14:val="none"/>
        </w:rPr>
        <w:t xml:space="preserve"> knowledge</w:t>
      </w:r>
      <w:r w:rsidRPr="008C1BE5">
        <w:rPr>
          <w:rFonts w:ascii="Segoe UI" w:hAnsi="Segoe UI" w:eastAsia="Times New Roman" w:cs="Segoe UI"/>
          <w:kern w:val="0"/>
          <w:sz w:val="21"/>
          <w:szCs w:val="21"/>
          <w:lang w:eastAsia="en-GB"/>
          <w14:ligatures w14:val="none"/>
        </w:rPr>
        <w:noBreakHyphen/>
      </w:r>
      <w:r w:rsidRPr="008C1BE5">
        <w:rPr>
          <w:rFonts w:ascii="Segoe UI" w:hAnsi="Segoe UI" w:eastAsia="Times New Roman" w:cs="Segoe UI"/>
          <w:kern w:val="0"/>
          <w:sz w:val="21"/>
          <w:szCs w:val="21"/>
          <w:lang w:eastAsia="en-GB"/>
          <w14:ligatures w14:val="none"/>
        </w:rPr>
        <w:t>rich literature curriculum. Hirsch argues that reading comprehension and critical thought are not transferable skills but are dependent on shared, sequenced background knowledge stored in long</w:t>
      </w:r>
      <w:r w:rsidRPr="008C1BE5">
        <w:rPr>
          <w:rFonts w:ascii="Segoe UI" w:hAnsi="Segoe UI" w:eastAsia="Times New Roman" w:cs="Segoe UI"/>
          <w:kern w:val="0"/>
          <w:sz w:val="21"/>
          <w:szCs w:val="21"/>
          <w:lang w:eastAsia="en-GB"/>
          <w14:ligatures w14:val="none"/>
        </w:rPr>
        <w:noBreakHyphen/>
      </w:r>
      <w:r w:rsidRPr="008C1BE5">
        <w:rPr>
          <w:rFonts w:ascii="Segoe UI" w:hAnsi="Segoe UI" w:eastAsia="Times New Roman" w:cs="Segoe UI"/>
          <w:kern w:val="0"/>
          <w:sz w:val="21"/>
          <w:szCs w:val="21"/>
          <w:lang w:eastAsia="en-GB"/>
          <w14:ligatures w14:val="none"/>
        </w:rPr>
        <w:t xml:space="preserve">term memory. Through works such as </w:t>
      </w:r>
      <w:r w:rsidRPr="008C1BE5">
        <w:rPr>
          <w:rFonts w:ascii="Segoe UI" w:hAnsi="Segoe UI" w:eastAsia="Times New Roman" w:cs="Segoe UI"/>
          <w:i/>
          <w:iCs/>
          <w:kern w:val="0"/>
          <w:sz w:val="21"/>
          <w:szCs w:val="21"/>
          <w:lang w:eastAsia="en-GB"/>
          <w14:ligatures w14:val="none"/>
        </w:rPr>
        <w:t>Cultural Literacy</w:t>
      </w:r>
      <w:r w:rsidRPr="008C1BE5">
        <w:rPr>
          <w:rFonts w:ascii="Segoe UI" w:hAnsi="Segoe UI" w:eastAsia="Times New Roman" w:cs="Segoe UI"/>
          <w:kern w:val="0"/>
          <w:sz w:val="21"/>
          <w:szCs w:val="21"/>
          <w:lang w:eastAsia="en-GB"/>
          <w14:ligatures w14:val="none"/>
        </w:rPr>
        <w:t xml:space="preserve"> and </w:t>
      </w:r>
      <w:r w:rsidRPr="008C1BE5">
        <w:rPr>
          <w:rFonts w:ascii="Segoe UI" w:hAnsi="Segoe UI" w:eastAsia="Times New Roman" w:cs="Segoe UI"/>
          <w:i/>
          <w:iCs/>
          <w:kern w:val="0"/>
          <w:sz w:val="21"/>
          <w:szCs w:val="21"/>
          <w:lang w:eastAsia="en-GB"/>
          <w14:ligatures w14:val="none"/>
        </w:rPr>
        <w:t>Why Knowledge Matters</w:t>
      </w:r>
      <w:r w:rsidRPr="008C1BE5">
        <w:rPr>
          <w:rFonts w:ascii="Segoe UI" w:hAnsi="Segoe UI" w:eastAsia="Times New Roman" w:cs="Segoe UI"/>
          <w:kern w:val="0"/>
          <w:sz w:val="21"/>
          <w:szCs w:val="21"/>
          <w:lang w:eastAsia="en-GB"/>
          <w14:ligatures w14:val="none"/>
        </w:rPr>
        <w:t xml:space="preserve">, he demonstrates that students struggle not because they lack strategies, but because they lack the </w:t>
      </w:r>
      <w:r w:rsidRPr="006E7CE3">
        <w:rPr>
          <w:rFonts w:ascii="Segoe UI" w:hAnsi="Segoe UI" w:eastAsia="Times New Roman" w:cs="Segoe UI"/>
          <w:b/>
          <w:bCs/>
          <w:kern w:val="0"/>
          <w:sz w:val="21"/>
          <w:szCs w:val="21"/>
          <w:lang w:eastAsia="en-GB"/>
          <w14:ligatures w14:val="none"/>
        </w:rPr>
        <w:t>cultural, historical, and conceptual knowledge that texts assume</w:t>
      </w:r>
      <w:r w:rsidRPr="008C1BE5">
        <w:rPr>
          <w:rFonts w:ascii="Segoe UI" w:hAnsi="Segoe UI" w:eastAsia="Times New Roman" w:cs="Segoe UI"/>
          <w:kern w:val="0"/>
          <w:sz w:val="21"/>
          <w:szCs w:val="21"/>
          <w:lang w:eastAsia="en-GB"/>
          <w14:ligatures w14:val="none"/>
        </w:rPr>
        <w:t xml:space="preserve">. </w:t>
      </w:r>
      <w:r w:rsidR="00B078D4">
        <w:rPr>
          <w:rFonts w:ascii="Segoe UI" w:hAnsi="Segoe UI" w:eastAsia="Times New Roman" w:cs="Segoe UI"/>
          <w:kern w:val="0"/>
          <w:sz w:val="21"/>
          <w:szCs w:val="21"/>
          <w:lang w:eastAsia="en-GB"/>
          <w14:ligatures w14:val="none"/>
        </w:rPr>
        <w:t>DoE</w:t>
      </w:r>
      <w:r w:rsidRPr="008C1BE5">
        <w:rPr>
          <w:rFonts w:ascii="Segoe UI" w:hAnsi="Segoe UI" w:eastAsia="Times New Roman" w:cs="Segoe UI"/>
          <w:kern w:val="0"/>
          <w:sz w:val="21"/>
          <w:szCs w:val="21"/>
          <w:lang w:eastAsia="en-GB"/>
          <w14:ligatures w14:val="none"/>
        </w:rPr>
        <w:t xml:space="preserve"> reflects this insight by treating </w:t>
      </w:r>
      <w:r w:rsidR="00B078D4">
        <w:rPr>
          <w:rFonts w:ascii="Segoe UI" w:hAnsi="Segoe UI" w:eastAsia="Times New Roman" w:cs="Segoe UI"/>
          <w:kern w:val="0"/>
          <w:sz w:val="21"/>
          <w:szCs w:val="21"/>
          <w:lang w:eastAsia="en-GB"/>
          <w14:ligatures w14:val="none"/>
        </w:rPr>
        <w:t>disciplinary</w:t>
      </w:r>
      <w:r w:rsidRPr="008C1BE5">
        <w:rPr>
          <w:rFonts w:ascii="Segoe UI" w:hAnsi="Segoe UI" w:eastAsia="Times New Roman" w:cs="Segoe UI"/>
          <w:kern w:val="0"/>
          <w:sz w:val="21"/>
          <w:szCs w:val="21"/>
          <w:lang w:eastAsia="en-GB"/>
          <w14:ligatures w14:val="none"/>
        </w:rPr>
        <w:t xml:space="preserve"> knowledge as essential rather than incidental: concepts, and contexts are deliberately selected and cumulatively taught. This approach supports </w:t>
      </w:r>
      <w:r w:rsidRPr="00602593">
        <w:rPr>
          <w:rFonts w:ascii="Segoe UI" w:hAnsi="Segoe UI" w:eastAsia="Times New Roman" w:cs="Segoe UI"/>
          <w:b/>
          <w:bCs/>
          <w:kern w:val="0"/>
          <w:sz w:val="21"/>
          <w:szCs w:val="21"/>
          <w:lang w:eastAsia="en-GB"/>
          <w14:ligatures w14:val="none"/>
        </w:rPr>
        <w:t>intellectual equity</w:t>
      </w:r>
      <w:r w:rsidRPr="008C1BE5">
        <w:rPr>
          <w:rFonts w:ascii="Segoe UI" w:hAnsi="Segoe UI" w:eastAsia="Times New Roman" w:cs="Segoe UI"/>
          <w:kern w:val="0"/>
          <w:sz w:val="21"/>
          <w:szCs w:val="21"/>
          <w:lang w:eastAsia="en-GB"/>
          <w14:ligatures w14:val="none"/>
        </w:rPr>
        <w:t xml:space="preserve"> by ensuring that all students, regardless of background, gain access to the shared knowledge required for deep literary understanding. In aligning knowledge acquisition with critical analysis, </w:t>
      </w:r>
      <w:r w:rsidR="004C5553">
        <w:rPr>
          <w:rFonts w:ascii="Segoe UI" w:hAnsi="Segoe UI" w:eastAsia="Times New Roman" w:cs="Segoe UI"/>
          <w:kern w:val="0"/>
          <w:sz w:val="21"/>
          <w:szCs w:val="21"/>
          <w:lang w:eastAsia="en-GB"/>
          <w14:ligatures w14:val="none"/>
        </w:rPr>
        <w:t>DoE</w:t>
      </w:r>
      <w:r w:rsidRPr="008C1BE5">
        <w:rPr>
          <w:rFonts w:ascii="Segoe UI" w:hAnsi="Segoe UI" w:eastAsia="Times New Roman" w:cs="Segoe UI"/>
          <w:kern w:val="0"/>
          <w:sz w:val="21"/>
          <w:szCs w:val="21"/>
          <w:lang w:eastAsia="en-GB"/>
          <w14:ligatures w14:val="none"/>
        </w:rPr>
        <w:t xml:space="preserve"> positions literary study as both intellectually rigorous and socially enabling.</w:t>
      </w:r>
    </w:p>
    <w:p w:rsidR="00545CAD" w:rsidP="00545CAD" w:rsidRDefault="00545CAD" w14:paraId="58B2862F" w14:textId="77777777"/>
    <w:p w:rsidR="007808AD" w:rsidP="00024C9D" w:rsidRDefault="007808AD" w14:paraId="1DD54616" w14:textId="30B6D327">
      <w:pPr>
        <w:pStyle w:val="Heading2"/>
      </w:pPr>
      <w:r>
        <w:t xml:space="preserve">Michael Young; </w:t>
      </w:r>
      <w:r w:rsidRPr="007808AD">
        <w:t>Powerful Knowledge</w:t>
      </w:r>
    </w:p>
    <w:p w:rsidRPr="00024C9D" w:rsidR="00024C9D" w:rsidP="00024C9D" w:rsidRDefault="00024C9D" w14:paraId="4D7F9E48" w14:textId="083E3E6A">
      <w:pPr>
        <w:spacing w:after="0" w:line="300" w:lineRule="atLeast"/>
        <w:rPr>
          <w:rFonts w:ascii="Segoe UI" w:hAnsi="Segoe UI" w:eastAsia="Times New Roman" w:cs="Segoe UI"/>
          <w:kern w:val="0"/>
          <w:sz w:val="21"/>
          <w:szCs w:val="21"/>
          <w:lang w:eastAsia="en-GB"/>
          <w14:ligatures w14:val="none"/>
        </w:rPr>
      </w:pPr>
      <w:r w:rsidRPr="00024C9D">
        <w:rPr>
          <w:rFonts w:ascii="Segoe UI" w:hAnsi="Segoe UI" w:eastAsia="Times New Roman" w:cs="Segoe UI"/>
          <w:kern w:val="0"/>
          <w:sz w:val="21"/>
          <w:szCs w:val="21"/>
          <w:lang w:eastAsia="en-GB"/>
          <w14:ligatures w14:val="none"/>
        </w:rPr>
        <w:t xml:space="preserve">Michael Young’s concept of powerful knowledge clarifies why </w:t>
      </w:r>
      <w:r>
        <w:rPr>
          <w:rFonts w:ascii="Segoe UI" w:hAnsi="Segoe UI" w:eastAsia="Times New Roman" w:cs="Segoe UI"/>
          <w:kern w:val="0"/>
          <w:sz w:val="21"/>
          <w:szCs w:val="21"/>
          <w:lang w:eastAsia="en-GB"/>
          <w14:ligatures w14:val="none"/>
        </w:rPr>
        <w:t>Discipline of English</w:t>
      </w:r>
      <w:r w:rsidRPr="00024C9D">
        <w:rPr>
          <w:rFonts w:ascii="Segoe UI" w:hAnsi="Segoe UI" w:eastAsia="Times New Roman" w:cs="Segoe UI"/>
          <w:kern w:val="0"/>
          <w:sz w:val="21"/>
          <w:szCs w:val="21"/>
          <w:lang w:eastAsia="en-GB"/>
          <w14:ligatures w14:val="none"/>
        </w:rPr>
        <w:t xml:space="preserve"> </w:t>
      </w:r>
      <w:r w:rsidRPr="00602593">
        <w:rPr>
          <w:rFonts w:ascii="Segoe UI" w:hAnsi="Segoe UI" w:eastAsia="Times New Roman" w:cs="Segoe UI"/>
          <w:b/>
          <w:bCs/>
          <w:kern w:val="0"/>
          <w:sz w:val="21"/>
          <w:szCs w:val="21"/>
          <w:lang w:eastAsia="en-GB"/>
          <w14:ligatures w14:val="none"/>
        </w:rPr>
        <w:t>distinguishes between arbitrary and mandatory knowledge</w:t>
      </w:r>
      <w:r w:rsidRPr="00024C9D">
        <w:rPr>
          <w:rFonts w:ascii="Segoe UI" w:hAnsi="Segoe UI" w:eastAsia="Times New Roman" w:cs="Segoe UI"/>
          <w:kern w:val="0"/>
          <w:sz w:val="21"/>
          <w:szCs w:val="21"/>
          <w:lang w:eastAsia="en-GB"/>
          <w14:ligatures w14:val="none"/>
        </w:rPr>
        <w:t xml:space="preserve"> within the literature curriculum. Young argues that schools exist to provide access to specialised, systematic knowledge that takes learners beyond everyday experience. Mandatory knowledge consists of concepts, frameworks, and disciplinary structures that are transferable across units of work because they are rooted in the internal logic of the subject itself. In contrast, arbitrary knowledge—such as isolated activities, themes, or text</w:t>
      </w:r>
      <w:r w:rsidRPr="00024C9D">
        <w:rPr>
          <w:rFonts w:ascii="Segoe UI" w:hAnsi="Segoe UI" w:eastAsia="Times New Roman" w:cs="Segoe UI"/>
          <w:kern w:val="0"/>
          <w:sz w:val="21"/>
          <w:szCs w:val="21"/>
          <w:lang w:eastAsia="en-GB"/>
          <w14:ligatures w14:val="none"/>
        </w:rPr>
        <w:noBreakHyphen/>
      </w:r>
      <w:r w:rsidRPr="00024C9D">
        <w:rPr>
          <w:rFonts w:ascii="Segoe UI" w:hAnsi="Segoe UI" w:eastAsia="Times New Roman" w:cs="Segoe UI"/>
          <w:kern w:val="0"/>
          <w:sz w:val="21"/>
          <w:szCs w:val="21"/>
          <w:lang w:eastAsia="en-GB"/>
          <w14:ligatures w14:val="none"/>
        </w:rPr>
        <w:t xml:space="preserve">specific tasks—has limited power beyond its immediate context. </w:t>
      </w:r>
      <w:r w:rsidR="00D140FF">
        <w:rPr>
          <w:rFonts w:ascii="Segoe UI" w:hAnsi="Segoe UI" w:eastAsia="Times New Roman" w:cs="Segoe UI"/>
          <w:kern w:val="0"/>
          <w:sz w:val="21"/>
          <w:szCs w:val="21"/>
          <w:lang w:eastAsia="en-GB"/>
          <w14:ligatures w14:val="none"/>
        </w:rPr>
        <w:t>DoE</w:t>
      </w:r>
      <w:r w:rsidRPr="00024C9D">
        <w:rPr>
          <w:rFonts w:ascii="Segoe UI" w:hAnsi="Segoe UI" w:eastAsia="Times New Roman" w:cs="Segoe UI"/>
          <w:kern w:val="0"/>
          <w:sz w:val="21"/>
          <w:szCs w:val="21"/>
          <w:lang w:eastAsia="en-GB"/>
          <w14:ligatures w14:val="none"/>
        </w:rPr>
        <w:t xml:space="preserve"> prioritises mandatory literary knowledge because it enables cumulative understanding: concepts such as genre, narrative form, rhetoric, and critical perspective recur across texts and units, allowing students to think with increasing abstraction and authority. This gives mandatory knowledge a necessary sequential priority, as later analytical work depends upon earlier </w:t>
      </w:r>
      <w:r w:rsidRPr="00AE2BD7">
        <w:rPr>
          <w:rFonts w:ascii="Segoe UI" w:hAnsi="Segoe UI" w:eastAsia="Times New Roman" w:cs="Segoe UI"/>
          <w:b/>
          <w:bCs/>
          <w:kern w:val="0"/>
          <w:sz w:val="21"/>
          <w:szCs w:val="21"/>
          <w:lang w:eastAsia="en-GB"/>
          <w14:ligatures w14:val="none"/>
        </w:rPr>
        <w:t>conceptual mastery</w:t>
      </w:r>
      <w:r w:rsidRPr="00024C9D">
        <w:rPr>
          <w:rFonts w:ascii="Segoe UI" w:hAnsi="Segoe UI" w:eastAsia="Times New Roman" w:cs="Segoe UI"/>
          <w:kern w:val="0"/>
          <w:sz w:val="21"/>
          <w:szCs w:val="21"/>
          <w:lang w:eastAsia="en-GB"/>
          <w14:ligatures w14:val="none"/>
        </w:rPr>
        <w:t xml:space="preserve">. In aligning with Young’s entitlement to powerful knowledge, </w:t>
      </w:r>
      <w:r w:rsidR="00913B6B">
        <w:rPr>
          <w:rFonts w:ascii="Segoe UI" w:hAnsi="Segoe UI" w:eastAsia="Times New Roman" w:cs="Segoe UI"/>
          <w:kern w:val="0"/>
          <w:sz w:val="21"/>
          <w:szCs w:val="21"/>
          <w:lang w:eastAsia="en-GB"/>
          <w14:ligatures w14:val="none"/>
        </w:rPr>
        <w:t>DoE</w:t>
      </w:r>
      <w:r w:rsidRPr="00024C9D">
        <w:rPr>
          <w:rFonts w:ascii="Segoe UI" w:hAnsi="Segoe UI" w:eastAsia="Times New Roman" w:cs="Segoe UI"/>
          <w:kern w:val="0"/>
          <w:sz w:val="21"/>
          <w:szCs w:val="21"/>
          <w:lang w:eastAsia="en-GB"/>
          <w14:ligatures w14:val="none"/>
        </w:rPr>
        <w:t xml:space="preserve"> ensures that literary study is coherent, cumulative, and intellectually emancipatory rather than episodic or experience</w:t>
      </w:r>
      <w:r w:rsidRPr="00024C9D">
        <w:rPr>
          <w:rFonts w:ascii="Segoe UI" w:hAnsi="Segoe UI" w:eastAsia="Times New Roman" w:cs="Segoe UI"/>
          <w:kern w:val="0"/>
          <w:sz w:val="21"/>
          <w:szCs w:val="21"/>
          <w:lang w:eastAsia="en-GB"/>
          <w14:ligatures w14:val="none"/>
        </w:rPr>
        <w:noBreakHyphen/>
      </w:r>
      <w:r w:rsidRPr="00024C9D">
        <w:rPr>
          <w:rFonts w:ascii="Segoe UI" w:hAnsi="Segoe UI" w:eastAsia="Times New Roman" w:cs="Segoe UI"/>
          <w:kern w:val="0"/>
          <w:sz w:val="21"/>
          <w:szCs w:val="21"/>
          <w:lang w:eastAsia="en-GB"/>
          <w14:ligatures w14:val="none"/>
        </w:rPr>
        <w:t>led.</w:t>
      </w:r>
    </w:p>
    <w:p w:rsidR="00566C83" w:rsidP="00545CAD" w:rsidRDefault="00566C83" w14:paraId="03678934" w14:textId="77777777"/>
    <w:p w:rsidRPr="0076588E" w:rsidR="00637D92" w:rsidP="00F85F13" w:rsidRDefault="00637D92" w14:paraId="4DC0E451" w14:textId="26052F55">
      <w:pPr>
        <w:pStyle w:val="Heading2"/>
        <w:rPr>
          <w:i/>
          <w:iCs/>
        </w:rPr>
      </w:pPr>
      <w:r>
        <w:t>Paul Kirschner</w:t>
      </w:r>
      <w:r w:rsidR="00F85F13">
        <w:t xml:space="preserve">; </w:t>
      </w:r>
      <w:r w:rsidRPr="0076588E" w:rsidR="00F85F13">
        <w:rPr>
          <w:i/>
          <w:iCs/>
        </w:rPr>
        <w:t>Why Minimal Guidance During Instruction Does Not Work</w:t>
      </w:r>
    </w:p>
    <w:p w:rsidR="00F85F13" w:rsidP="00F85F13" w:rsidRDefault="00F85F13" w14:paraId="4A1F650B" w14:textId="77777777">
      <w:pPr>
        <w:spacing w:after="0" w:line="300" w:lineRule="atLeast"/>
        <w:rPr>
          <w:rFonts w:ascii="Segoe UI" w:hAnsi="Segoe UI" w:eastAsia="Times New Roman" w:cs="Segoe UI"/>
          <w:kern w:val="0"/>
          <w:sz w:val="21"/>
          <w:szCs w:val="21"/>
          <w:lang w:eastAsia="en-GB"/>
          <w14:ligatures w14:val="none"/>
        </w:rPr>
      </w:pPr>
      <w:r w:rsidRPr="00F85F13">
        <w:rPr>
          <w:rFonts w:ascii="Segoe UI" w:hAnsi="Segoe UI" w:eastAsia="Times New Roman" w:cs="Segoe UI"/>
          <w:kern w:val="0"/>
          <w:sz w:val="21"/>
          <w:szCs w:val="21"/>
          <w:lang w:eastAsia="en-GB"/>
          <w14:ligatures w14:val="none"/>
        </w:rPr>
        <w:t xml:space="preserve">Paul Kirschner’s critique of minimal guidance challenges the assumption that learners acquire knowledge most effectively through discovery. In </w:t>
      </w:r>
      <w:r w:rsidRPr="00F85F13">
        <w:rPr>
          <w:rFonts w:ascii="Segoe UI" w:hAnsi="Segoe UI" w:eastAsia="Times New Roman" w:cs="Segoe UI"/>
          <w:i/>
          <w:iCs/>
          <w:kern w:val="0"/>
          <w:sz w:val="21"/>
          <w:szCs w:val="21"/>
          <w:lang w:eastAsia="en-GB"/>
          <w14:ligatures w14:val="none"/>
        </w:rPr>
        <w:t>Why Minimal Guidance During Instruction Does Not Work</w:t>
      </w:r>
      <w:r w:rsidRPr="00F85F13">
        <w:rPr>
          <w:rFonts w:ascii="Segoe UI" w:hAnsi="Segoe UI" w:eastAsia="Times New Roman" w:cs="Segoe UI"/>
          <w:kern w:val="0"/>
          <w:sz w:val="21"/>
          <w:szCs w:val="21"/>
          <w:lang w:eastAsia="en-GB"/>
          <w14:ligatures w14:val="none"/>
        </w:rPr>
        <w:t>, Kirschner argues that unguided and discovery</w:t>
      </w:r>
      <w:r w:rsidRPr="00F85F13">
        <w:rPr>
          <w:rFonts w:ascii="Segoe UI" w:hAnsi="Segoe UI" w:eastAsia="Times New Roman" w:cs="Segoe UI"/>
          <w:kern w:val="0"/>
          <w:sz w:val="21"/>
          <w:szCs w:val="21"/>
          <w:lang w:eastAsia="en-GB"/>
          <w14:ligatures w14:val="none"/>
        </w:rPr>
        <w:noBreakHyphen/>
      </w:r>
      <w:r w:rsidRPr="00F85F13">
        <w:rPr>
          <w:rFonts w:ascii="Segoe UI" w:hAnsi="Segoe UI" w:eastAsia="Times New Roman" w:cs="Segoe UI"/>
          <w:kern w:val="0"/>
          <w:sz w:val="21"/>
          <w:szCs w:val="21"/>
          <w:lang w:eastAsia="en-GB"/>
          <w14:ligatures w14:val="none"/>
        </w:rPr>
        <w:t>based approaches are misaligned with human cognitive architecture. Learning, he explains, requires durable changes in long</w:t>
      </w:r>
      <w:r w:rsidRPr="00F85F13">
        <w:rPr>
          <w:rFonts w:ascii="Segoe UI" w:hAnsi="Segoe UI" w:eastAsia="Times New Roman" w:cs="Segoe UI"/>
          <w:kern w:val="0"/>
          <w:sz w:val="21"/>
          <w:szCs w:val="21"/>
          <w:lang w:eastAsia="en-GB"/>
          <w14:ligatures w14:val="none"/>
        </w:rPr>
        <w:noBreakHyphen/>
      </w:r>
      <w:r w:rsidRPr="00F85F13">
        <w:rPr>
          <w:rFonts w:ascii="Segoe UI" w:hAnsi="Segoe UI" w:eastAsia="Times New Roman" w:cs="Segoe UI"/>
          <w:kern w:val="0"/>
          <w:sz w:val="21"/>
          <w:szCs w:val="21"/>
          <w:lang w:eastAsia="en-GB"/>
          <w14:ligatures w14:val="none"/>
        </w:rPr>
        <w:t>term memory, yet discovery learning places excessive demands on limited working memory by forcing novices to search for solutions before they possess the necessary schemas. This problem</w:t>
      </w:r>
      <w:r w:rsidRPr="00F85F13">
        <w:rPr>
          <w:rFonts w:ascii="Segoe UI" w:hAnsi="Segoe UI" w:eastAsia="Times New Roman" w:cs="Segoe UI"/>
          <w:kern w:val="0"/>
          <w:sz w:val="21"/>
          <w:szCs w:val="21"/>
          <w:lang w:eastAsia="en-GB"/>
          <w14:ligatures w14:val="none"/>
        </w:rPr>
        <w:noBreakHyphen/>
      </w:r>
      <w:r w:rsidRPr="00F85F13">
        <w:rPr>
          <w:rFonts w:ascii="Segoe UI" w:hAnsi="Segoe UI" w:eastAsia="Times New Roman" w:cs="Segoe UI"/>
          <w:kern w:val="0"/>
          <w:sz w:val="21"/>
          <w:szCs w:val="21"/>
          <w:lang w:eastAsia="en-GB"/>
          <w14:ligatures w14:val="none"/>
        </w:rPr>
        <w:t xml:space="preserve">solving search may lead to task completion without learning, as cognitive effort is expended on procedures rather than understanding. Kirschner demonstrates that </w:t>
      </w:r>
      <w:r w:rsidRPr="0057112D">
        <w:rPr>
          <w:rFonts w:ascii="Segoe UI" w:hAnsi="Segoe UI" w:eastAsia="Times New Roman" w:cs="Segoe UI"/>
          <w:b/>
          <w:bCs/>
          <w:kern w:val="0"/>
          <w:sz w:val="21"/>
          <w:szCs w:val="21"/>
          <w:lang w:eastAsia="en-GB"/>
          <w14:ligatures w14:val="none"/>
        </w:rPr>
        <w:t>guided instruction—through explicit explanation, modelling, and structured practice—supports schema formation and reduces extraneous cognitive load</w:t>
      </w:r>
      <w:r w:rsidRPr="00F85F13">
        <w:rPr>
          <w:rFonts w:ascii="Segoe UI" w:hAnsi="Segoe UI" w:eastAsia="Times New Roman" w:cs="Segoe UI"/>
          <w:kern w:val="0"/>
          <w:sz w:val="21"/>
          <w:szCs w:val="21"/>
          <w:lang w:eastAsia="en-GB"/>
          <w14:ligatures w14:val="none"/>
        </w:rPr>
        <w:t>. Only once learners have sufficient prior knowledge does guidance become less necessary. His work therefore establishes that facilitative teaching must be grounded in explicit instruction, ensuring that exploration follows knowledge acquisition rather than replacing it.</w:t>
      </w:r>
    </w:p>
    <w:p w:rsidRPr="00D71E80" w:rsidR="00ED069C" w:rsidP="00D71E80" w:rsidRDefault="00ED069C" w14:paraId="01BFBCD7" w14:textId="77777777">
      <w:r w:rsidRPr="00D71E80">
        <w:t xml:space="preserve">Paul Kirschner’s work is often misunderstood as an argument </w:t>
      </w:r>
      <w:r w:rsidRPr="00D71E80">
        <w:rPr>
          <w:rStyle w:val="Emphasis"/>
          <w:rFonts w:ascii="Segoe UI" w:hAnsi="Segoe UI" w:cs="Segoe UI"/>
          <w:sz w:val="21"/>
          <w:szCs w:val="21"/>
        </w:rPr>
        <w:t>against</w:t>
      </w:r>
      <w:r w:rsidRPr="00D71E80">
        <w:t xml:space="preserve"> facilitation. In fact, his position is that </w:t>
      </w:r>
      <w:r w:rsidRPr="00D71E80">
        <w:rPr>
          <w:rStyle w:val="Strong"/>
          <w:rFonts w:ascii="Segoe UI" w:hAnsi="Segoe UI" w:cs="Segoe UI"/>
          <w:sz w:val="21"/>
          <w:szCs w:val="21"/>
        </w:rPr>
        <w:t>effective facilitation is only possible once learners have been given explicit instructional guidance</w:t>
      </w:r>
      <w:r w:rsidRPr="00D71E80">
        <w:t xml:space="preserve">. His support for facilitative learning is therefore </w:t>
      </w:r>
      <w:r w:rsidRPr="00D71E80">
        <w:rPr>
          <w:rStyle w:val="Strong"/>
          <w:rFonts w:ascii="Segoe UI" w:hAnsi="Segoe UI" w:cs="Segoe UI"/>
          <w:sz w:val="21"/>
          <w:szCs w:val="21"/>
        </w:rPr>
        <w:t>conditional, developmental, and cognitively grounded</w:t>
      </w:r>
      <w:r w:rsidRPr="00D71E80">
        <w:t>, rather than ideological.</w:t>
      </w:r>
    </w:p>
    <w:p w:rsidRPr="00D71E80" w:rsidR="00ED069C" w:rsidP="00D71E80" w:rsidRDefault="00ED069C" w14:paraId="33BC2573" w14:textId="77777777">
      <w:r w:rsidRPr="00D71E80">
        <w:t xml:space="preserve">Kirschner argues that </w:t>
      </w:r>
      <w:r w:rsidRPr="00D71E80">
        <w:rPr>
          <w:rStyle w:val="Strong"/>
          <w:rFonts w:ascii="Segoe UI" w:hAnsi="Segoe UI" w:cs="Segoe UI"/>
          <w:sz w:val="21"/>
          <w:szCs w:val="21"/>
        </w:rPr>
        <w:t>learning is defined as a change in long</w:t>
      </w:r>
      <w:r w:rsidRPr="00D71E80">
        <w:rPr>
          <w:rStyle w:val="Strong"/>
          <w:rFonts w:ascii="Segoe UI" w:hAnsi="Segoe UI" w:cs="Segoe UI"/>
          <w:sz w:val="21"/>
          <w:szCs w:val="21"/>
        </w:rPr>
        <w:noBreakHyphen/>
      </w:r>
      <w:r w:rsidRPr="00D71E80">
        <w:rPr>
          <w:rStyle w:val="Strong"/>
          <w:rFonts w:ascii="Segoe UI" w:hAnsi="Segoe UI" w:cs="Segoe UI"/>
          <w:sz w:val="21"/>
          <w:szCs w:val="21"/>
        </w:rPr>
        <w:t>term memory</w:t>
      </w:r>
      <w:r w:rsidRPr="00D71E80">
        <w:t>, and that novices lack the schemas needed to guide their own inquiry. When learners are asked to discover content with minimal guidance, they must rely on limited working memory, leading to inefficient problem</w:t>
      </w:r>
      <w:r w:rsidRPr="00D71E80">
        <w:noBreakHyphen/>
      </w:r>
      <w:r w:rsidRPr="00D71E80">
        <w:t xml:space="preserve">solving, cognitive overload, and the formation of misconceptions rather than durable knowledge. For this reason, he strongly supports </w:t>
      </w:r>
      <w:r w:rsidRPr="00D71E80">
        <w:rPr>
          <w:rStyle w:val="Strong"/>
          <w:rFonts w:ascii="Segoe UI" w:hAnsi="Segoe UI" w:cs="Segoe UI"/>
          <w:sz w:val="21"/>
          <w:szCs w:val="21"/>
        </w:rPr>
        <w:t>fully guided instruction at the point of initial teaching</w:t>
      </w:r>
      <w:r w:rsidRPr="00D71E80">
        <w:t>, where concepts and procedures are explicitly explained and modelled.</w:t>
      </w:r>
    </w:p>
    <w:p w:rsidR="00F85F13" w:rsidP="003E7965" w:rsidRDefault="001653CE" w14:paraId="7C1B64EE" w14:textId="6D7F54F3">
      <w:pPr>
        <w:pStyle w:val="Heading2"/>
        <w:rPr>
          <w:i/>
          <w:iCs/>
        </w:rPr>
      </w:pPr>
      <w:r>
        <w:t xml:space="preserve">Anderson and Krathwohl; </w:t>
      </w:r>
      <w:r w:rsidRPr="003E7965">
        <w:rPr>
          <w:i/>
          <w:iCs/>
        </w:rPr>
        <w:t>Cognitive Domain</w:t>
      </w:r>
    </w:p>
    <w:p w:rsidR="003E7965" w:rsidP="003E7965" w:rsidRDefault="003E7965" w14:paraId="33FC373F" w14:textId="1041144E">
      <w:pPr>
        <w:spacing w:after="0" w:line="300" w:lineRule="atLeast"/>
        <w:rPr>
          <w:rFonts w:ascii="Segoe UI" w:hAnsi="Segoe UI" w:eastAsia="Times New Roman" w:cs="Segoe UI"/>
          <w:kern w:val="0"/>
          <w:sz w:val="21"/>
          <w:szCs w:val="21"/>
          <w:lang w:eastAsia="en-GB"/>
          <w14:ligatures w14:val="none"/>
        </w:rPr>
      </w:pPr>
      <w:r w:rsidRPr="003E7965">
        <w:rPr>
          <w:rFonts w:ascii="Segoe UI" w:hAnsi="Segoe UI" w:eastAsia="Times New Roman" w:cs="Segoe UI"/>
          <w:kern w:val="0"/>
          <w:sz w:val="21"/>
          <w:szCs w:val="21"/>
          <w:lang w:eastAsia="en-GB"/>
          <w14:ligatures w14:val="none"/>
        </w:rPr>
        <w:t xml:space="preserve">In revising Bloom’s taxonomy, Anderson and Krathwohl reconceptualise the cognitive domain as an interaction between cognitive processes and distinct types of knowledge. They argue that learning requires more than the accumulation of facts; it depends on the coordinated development of four knowledge forms: </w:t>
      </w:r>
      <w:r w:rsidRPr="00652422">
        <w:rPr>
          <w:rFonts w:ascii="Segoe UI" w:hAnsi="Segoe UI" w:eastAsia="Times New Roman" w:cs="Segoe UI"/>
          <w:b/>
          <w:bCs/>
          <w:kern w:val="0"/>
          <w:sz w:val="21"/>
          <w:szCs w:val="21"/>
          <w:lang w:eastAsia="en-GB"/>
          <w14:ligatures w14:val="none"/>
        </w:rPr>
        <w:t>factual, conceptual, procedural, and metacognitive knowledge</w:t>
      </w:r>
      <w:r w:rsidRPr="003E7965">
        <w:rPr>
          <w:rFonts w:ascii="Segoe UI" w:hAnsi="Segoe UI" w:eastAsia="Times New Roman" w:cs="Segoe UI"/>
          <w:kern w:val="0"/>
          <w:sz w:val="21"/>
          <w:szCs w:val="21"/>
          <w:lang w:eastAsia="en-GB"/>
          <w14:ligatures w14:val="none"/>
        </w:rPr>
        <w:t xml:space="preserve">. Factual knowledge provides essential </w:t>
      </w:r>
      <w:r w:rsidRPr="00652422">
        <w:rPr>
          <w:rFonts w:ascii="Segoe UI" w:hAnsi="Segoe UI" w:eastAsia="Times New Roman" w:cs="Segoe UI"/>
          <w:b/>
          <w:bCs/>
          <w:kern w:val="0"/>
          <w:sz w:val="21"/>
          <w:szCs w:val="21"/>
          <w:lang w:eastAsia="en-GB"/>
          <w14:ligatures w14:val="none"/>
        </w:rPr>
        <w:t>terminology and detail</w:t>
      </w:r>
      <w:r w:rsidRPr="003E7965">
        <w:rPr>
          <w:rFonts w:ascii="Segoe UI" w:hAnsi="Segoe UI" w:eastAsia="Times New Roman" w:cs="Segoe UI"/>
          <w:kern w:val="0"/>
          <w:sz w:val="21"/>
          <w:szCs w:val="21"/>
          <w:lang w:eastAsia="en-GB"/>
          <w14:ligatures w14:val="none"/>
        </w:rPr>
        <w:t xml:space="preserve">, while conceptual knowledge enables learners to understand </w:t>
      </w:r>
      <w:r w:rsidRPr="00652422">
        <w:rPr>
          <w:rFonts w:ascii="Segoe UI" w:hAnsi="Segoe UI" w:eastAsia="Times New Roman" w:cs="Segoe UI"/>
          <w:b/>
          <w:bCs/>
          <w:kern w:val="0"/>
          <w:sz w:val="21"/>
          <w:szCs w:val="21"/>
          <w:lang w:eastAsia="en-GB"/>
          <w14:ligatures w14:val="none"/>
        </w:rPr>
        <w:t>relationships, structures, and organising principles</w:t>
      </w:r>
      <w:r w:rsidRPr="003E7965">
        <w:rPr>
          <w:rFonts w:ascii="Segoe UI" w:hAnsi="Segoe UI" w:eastAsia="Times New Roman" w:cs="Segoe UI"/>
          <w:kern w:val="0"/>
          <w:sz w:val="21"/>
          <w:szCs w:val="21"/>
          <w:lang w:eastAsia="en-GB"/>
          <w14:ligatures w14:val="none"/>
        </w:rPr>
        <w:t xml:space="preserve"> within a discipline. Procedural knowledge concerns </w:t>
      </w:r>
      <w:r w:rsidRPr="00652422">
        <w:rPr>
          <w:rFonts w:ascii="Segoe UI" w:hAnsi="Segoe UI" w:eastAsia="Times New Roman" w:cs="Segoe UI"/>
          <w:b/>
          <w:bCs/>
          <w:kern w:val="0"/>
          <w:sz w:val="21"/>
          <w:szCs w:val="21"/>
          <w:lang w:eastAsia="en-GB"/>
          <w14:ligatures w14:val="none"/>
        </w:rPr>
        <w:t>methods, techniques, and criteria</w:t>
      </w:r>
      <w:r w:rsidRPr="003E7965">
        <w:rPr>
          <w:rFonts w:ascii="Segoe UI" w:hAnsi="Segoe UI" w:eastAsia="Times New Roman" w:cs="Segoe UI"/>
          <w:kern w:val="0"/>
          <w:sz w:val="21"/>
          <w:szCs w:val="21"/>
          <w:lang w:eastAsia="en-GB"/>
          <w14:ligatures w14:val="none"/>
        </w:rPr>
        <w:t xml:space="preserve"> for applying knowledge effectively, and metacognitive knowledge allows learners to monitor, regulate, and </w:t>
      </w:r>
      <w:r w:rsidRPr="00A000BB" w:rsidR="00A000BB">
        <w:rPr>
          <w:rFonts w:ascii="Segoe UI" w:hAnsi="Segoe UI" w:eastAsia="Times New Roman" w:cs="Segoe UI"/>
          <w:b/>
          <w:bCs/>
          <w:kern w:val="0"/>
          <w:sz w:val="21"/>
          <w:szCs w:val="21"/>
          <w:lang w:eastAsia="en-GB"/>
          <w14:ligatures w14:val="none"/>
        </w:rPr>
        <w:t>observe the nature of the discipline</w:t>
      </w:r>
      <w:r w:rsidR="00A000BB">
        <w:rPr>
          <w:rFonts w:ascii="Segoe UI" w:hAnsi="Segoe UI" w:eastAsia="Times New Roman" w:cs="Segoe UI"/>
          <w:kern w:val="0"/>
          <w:sz w:val="21"/>
          <w:szCs w:val="21"/>
          <w:lang w:eastAsia="en-GB"/>
          <w14:ligatures w14:val="none"/>
        </w:rPr>
        <w:t xml:space="preserve"> from a holistic view</w:t>
      </w:r>
      <w:r w:rsidRPr="003E7965">
        <w:rPr>
          <w:rFonts w:ascii="Segoe UI" w:hAnsi="Segoe UI" w:eastAsia="Times New Roman" w:cs="Segoe UI"/>
          <w:kern w:val="0"/>
          <w:sz w:val="21"/>
          <w:szCs w:val="21"/>
          <w:lang w:eastAsia="en-GB"/>
          <w14:ligatures w14:val="none"/>
        </w:rPr>
        <w:t>. Anderson and Krathwohl emphasise that higher</w:t>
      </w:r>
      <w:r w:rsidRPr="003E7965">
        <w:rPr>
          <w:rFonts w:ascii="Segoe UI" w:hAnsi="Segoe UI" w:eastAsia="Times New Roman" w:cs="Segoe UI"/>
          <w:kern w:val="0"/>
          <w:sz w:val="21"/>
          <w:szCs w:val="21"/>
          <w:lang w:eastAsia="en-GB"/>
          <w14:ligatures w14:val="none"/>
        </w:rPr>
        <w:noBreakHyphen/>
      </w:r>
      <w:r w:rsidRPr="003E7965">
        <w:rPr>
          <w:rFonts w:ascii="Segoe UI" w:hAnsi="Segoe UI" w:eastAsia="Times New Roman" w:cs="Segoe UI"/>
          <w:kern w:val="0"/>
          <w:sz w:val="21"/>
          <w:szCs w:val="21"/>
          <w:lang w:eastAsia="en-GB"/>
          <w14:ligatures w14:val="none"/>
        </w:rPr>
        <w:t xml:space="preserve">order thinking—such as analysis, evaluation, and creation—is only possible when these knowledge forms are securely established. Their model therefore supports a curriculum that is deliberately sequenced, ensuring that students acquire foundational knowledge before being expected to think critically or independently. </w:t>
      </w:r>
      <w:r>
        <w:rPr>
          <w:rFonts w:ascii="Segoe UI" w:hAnsi="Segoe UI" w:eastAsia="Times New Roman" w:cs="Segoe UI"/>
          <w:kern w:val="0"/>
          <w:sz w:val="21"/>
          <w:szCs w:val="21"/>
          <w:lang w:eastAsia="en-GB"/>
          <w14:ligatures w14:val="none"/>
        </w:rPr>
        <w:t>DoE</w:t>
      </w:r>
      <w:r w:rsidRPr="003E7965">
        <w:rPr>
          <w:rFonts w:ascii="Segoe UI" w:hAnsi="Segoe UI" w:eastAsia="Times New Roman" w:cs="Segoe UI"/>
          <w:kern w:val="0"/>
          <w:sz w:val="21"/>
          <w:szCs w:val="21"/>
          <w:lang w:eastAsia="en-GB"/>
          <w14:ligatures w14:val="none"/>
        </w:rPr>
        <w:t xml:space="preserve"> reflects this structure by aligning knowledge acquisition with cognitive progression.</w:t>
      </w:r>
    </w:p>
    <w:p w:rsidR="00F03B48" w:rsidP="003E7965" w:rsidRDefault="00F03B48" w14:paraId="66988AC6" w14:textId="77777777">
      <w:pPr>
        <w:spacing w:after="0" w:line="300" w:lineRule="atLeast"/>
        <w:rPr>
          <w:rFonts w:ascii="Segoe UI" w:hAnsi="Segoe UI" w:eastAsia="Times New Roman" w:cs="Segoe UI"/>
          <w:kern w:val="0"/>
          <w:sz w:val="21"/>
          <w:szCs w:val="21"/>
          <w:lang w:eastAsia="en-GB"/>
          <w14:ligatures w14:val="none"/>
        </w:rPr>
      </w:pPr>
    </w:p>
    <w:p w:rsidR="003E7965" w:rsidP="001A275E" w:rsidRDefault="00F03B48" w14:paraId="6C73F700" w14:textId="48E3F89A">
      <w:pPr>
        <w:pStyle w:val="Heading2"/>
        <w:rPr>
          <w:rFonts w:eastAsia="Times New Roman"/>
          <w:i/>
          <w:iCs/>
          <w:lang w:eastAsia="en-GB"/>
        </w:rPr>
      </w:pPr>
      <w:r>
        <w:rPr>
          <w:rFonts w:eastAsia="Times New Roman"/>
          <w:lang w:eastAsia="en-GB"/>
        </w:rPr>
        <w:t xml:space="preserve">Ebbinghaus; </w:t>
      </w:r>
      <w:r w:rsidRPr="001A275E">
        <w:rPr>
          <w:rFonts w:eastAsia="Times New Roman"/>
          <w:i/>
          <w:iCs/>
          <w:lang w:eastAsia="en-GB"/>
        </w:rPr>
        <w:t>The Forgetting Curve</w:t>
      </w:r>
    </w:p>
    <w:p w:rsidRPr="001A275E" w:rsidR="001A275E" w:rsidP="001A275E" w:rsidRDefault="001A275E" w14:paraId="7910268C" w14:textId="4166A8FA">
      <w:pPr>
        <w:spacing w:after="0" w:line="300" w:lineRule="atLeast"/>
        <w:rPr>
          <w:rFonts w:ascii="Segoe UI" w:hAnsi="Segoe UI" w:eastAsia="Times New Roman" w:cs="Segoe UI"/>
          <w:kern w:val="0"/>
          <w:sz w:val="21"/>
          <w:szCs w:val="21"/>
          <w:lang w:eastAsia="en-GB"/>
          <w14:ligatures w14:val="none"/>
        </w:rPr>
      </w:pPr>
      <w:r w:rsidRPr="001A275E">
        <w:rPr>
          <w:rFonts w:ascii="Segoe UI" w:hAnsi="Segoe UI" w:eastAsia="Times New Roman" w:cs="Segoe UI"/>
          <w:kern w:val="0"/>
          <w:sz w:val="21"/>
          <w:szCs w:val="21"/>
          <w:lang w:eastAsia="en-GB"/>
          <w14:ligatures w14:val="none"/>
        </w:rPr>
        <w:t>Hermann Ebbinghaus’s experimental work on memory established repetition as fundamental to durable learning. Through systematic self</w:t>
      </w:r>
      <w:r w:rsidRPr="001A275E">
        <w:rPr>
          <w:rFonts w:ascii="Segoe UI" w:hAnsi="Segoe UI" w:eastAsia="Times New Roman" w:cs="Segoe UI"/>
          <w:kern w:val="0"/>
          <w:sz w:val="21"/>
          <w:szCs w:val="21"/>
          <w:lang w:eastAsia="en-GB"/>
          <w14:ligatures w14:val="none"/>
        </w:rPr>
        <w:noBreakHyphen/>
      </w:r>
      <w:r w:rsidRPr="001A275E">
        <w:rPr>
          <w:rFonts w:ascii="Segoe UI" w:hAnsi="Segoe UI" w:eastAsia="Times New Roman" w:cs="Segoe UI"/>
          <w:kern w:val="0"/>
          <w:sz w:val="21"/>
          <w:szCs w:val="21"/>
          <w:lang w:eastAsia="en-GB"/>
          <w14:ligatures w14:val="none"/>
        </w:rPr>
        <w:t xml:space="preserve">experimentation, Ebbinghaus demonstrated the ‘forgetting curve’, showing that newly learned information decays rapidly when it is not revisited. Crucially, he also identified the ‘spacing effect’: </w:t>
      </w:r>
      <w:r w:rsidRPr="008A66CB">
        <w:rPr>
          <w:rFonts w:ascii="Segoe UI" w:hAnsi="Segoe UI" w:eastAsia="Times New Roman" w:cs="Segoe UI"/>
          <w:b/>
          <w:bCs/>
          <w:kern w:val="0"/>
          <w:sz w:val="21"/>
          <w:szCs w:val="21"/>
          <w:lang w:eastAsia="en-GB"/>
          <w14:ligatures w14:val="none"/>
        </w:rPr>
        <w:t>knowledge that is revisited repeatedly over time is retained</w:t>
      </w:r>
      <w:r w:rsidRPr="001A275E">
        <w:rPr>
          <w:rFonts w:ascii="Segoe UI" w:hAnsi="Segoe UI" w:eastAsia="Times New Roman" w:cs="Segoe UI"/>
          <w:kern w:val="0"/>
          <w:sz w:val="21"/>
          <w:szCs w:val="21"/>
          <w:lang w:eastAsia="en-GB"/>
          <w14:ligatures w14:val="none"/>
        </w:rPr>
        <w:t xml:space="preserve"> far more securely than knowledge studied once or crammed into a single session. Ebbinghaus showed that relearning previously forgotten material requires significantly less effort than initial learning, indicating that memory traces persist and can be strengthened through spaced repetition. This finding transformed understanding of learning from a single event into a cumulative process. </w:t>
      </w:r>
      <w:r>
        <w:rPr>
          <w:rFonts w:ascii="Segoe UI" w:hAnsi="Segoe UI" w:eastAsia="Times New Roman" w:cs="Segoe UI"/>
          <w:kern w:val="0"/>
          <w:sz w:val="21"/>
          <w:szCs w:val="21"/>
          <w:lang w:eastAsia="en-GB"/>
          <w14:ligatures w14:val="none"/>
        </w:rPr>
        <w:t>DoE</w:t>
      </w:r>
      <w:r w:rsidRPr="001A275E">
        <w:rPr>
          <w:rFonts w:ascii="Segoe UI" w:hAnsi="Segoe UI" w:eastAsia="Times New Roman" w:cs="Segoe UI"/>
          <w:kern w:val="0"/>
          <w:sz w:val="21"/>
          <w:szCs w:val="21"/>
          <w:lang w:eastAsia="en-GB"/>
          <w14:ligatures w14:val="none"/>
        </w:rPr>
        <w:t xml:space="preserve"> reflects this insight by prioritising planned repetition across units and lessons, ensuring that essential knowledge is encountered multiple times in varied contexts. In doing so, </w:t>
      </w:r>
      <w:r>
        <w:rPr>
          <w:rFonts w:ascii="Segoe UI" w:hAnsi="Segoe UI" w:eastAsia="Times New Roman" w:cs="Segoe UI"/>
          <w:kern w:val="0"/>
          <w:sz w:val="21"/>
          <w:szCs w:val="21"/>
          <w:lang w:eastAsia="en-GB"/>
          <w14:ligatures w14:val="none"/>
        </w:rPr>
        <w:t>DoE</w:t>
      </w:r>
      <w:r w:rsidRPr="001A275E">
        <w:rPr>
          <w:rFonts w:ascii="Segoe UI" w:hAnsi="Segoe UI" w:eastAsia="Times New Roman" w:cs="Segoe UI"/>
          <w:kern w:val="0"/>
          <w:sz w:val="21"/>
          <w:szCs w:val="21"/>
          <w:lang w:eastAsia="en-GB"/>
          <w14:ligatures w14:val="none"/>
        </w:rPr>
        <w:t xml:space="preserve"> secures knowledge in long</w:t>
      </w:r>
      <w:r w:rsidRPr="001A275E">
        <w:rPr>
          <w:rFonts w:ascii="Segoe UI" w:hAnsi="Segoe UI" w:eastAsia="Times New Roman" w:cs="Segoe UI"/>
          <w:kern w:val="0"/>
          <w:sz w:val="21"/>
          <w:szCs w:val="21"/>
          <w:lang w:eastAsia="en-GB"/>
          <w14:ligatures w14:val="none"/>
        </w:rPr>
        <w:noBreakHyphen/>
      </w:r>
      <w:r w:rsidRPr="001A275E">
        <w:rPr>
          <w:rFonts w:ascii="Segoe UI" w:hAnsi="Segoe UI" w:eastAsia="Times New Roman" w:cs="Segoe UI"/>
          <w:kern w:val="0"/>
          <w:sz w:val="21"/>
          <w:szCs w:val="21"/>
          <w:lang w:eastAsia="en-GB"/>
          <w14:ligatures w14:val="none"/>
        </w:rPr>
        <w:t>term memory, making it available for transfer, analysis, and critical application rather than fragile, short</w:t>
      </w:r>
      <w:r w:rsidRPr="001A275E">
        <w:rPr>
          <w:rFonts w:ascii="Segoe UI" w:hAnsi="Segoe UI" w:eastAsia="Times New Roman" w:cs="Segoe UI"/>
          <w:kern w:val="0"/>
          <w:sz w:val="21"/>
          <w:szCs w:val="21"/>
          <w:lang w:eastAsia="en-GB"/>
          <w14:ligatures w14:val="none"/>
        </w:rPr>
        <w:noBreakHyphen/>
      </w:r>
      <w:r w:rsidRPr="001A275E">
        <w:rPr>
          <w:rFonts w:ascii="Segoe UI" w:hAnsi="Segoe UI" w:eastAsia="Times New Roman" w:cs="Segoe UI"/>
          <w:kern w:val="0"/>
          <w:sz w:val="21"/>
          <w:szCs w:val="21"/>
          <w:lang w:eastAsia="en-GB"/>
          <w14:ligatures w14:val="none"/>
        </w:rPr>
        <w:t>term recall.</w:t>
      </w:r>
    </w:p>
    <w:p w:rsidR="001A275E" w:rsidP="0017332D" w:rsidRDefault="00303EF6" w14:paraId="7DB658A4" w14:textId="36700CBB">
      <w:pPr>
        <w:pStyle w:val="Heading2"/>
        <w:rPr>
          <w:lang w:eastAsia="en-GB"/>
        </w:rPr>
      </w:pPr>
      <w:r>
        <w:rPr>
          <w:lang w:eastAsia="en-GB"/>
        </w:rPr>
        <w:t xml:space="preserve">Sapir-Whorf; </w:t>
      </w:r>
      <w:r w:rsidR="0017332D">
        <w:rPr>
          <w:lang w:eastAsia="en-GB"/>
        </w:rPr>
        <w:t>Linguistic Relativity</w:t>
      </w:r>
    </w:p>
    <w:p w:rsidRPr="00F440FC" w:rsidR="00F440FC" w:rsidP="00F440FC" w:rsidRDefault="00F440FC" w14:paraId="2C339D60" w14:textId="77777777">
      <w:pPr>
        <w:spacing w:after="0" w:line="300" w:lineRule="atLeast"/>
        <w:rPr>
          <w:rFonts w:ascii="Segoe UI" w:hAnsi="Segoe UI" w:eastAsia="Times New Roman" w:cs="Segoe UI"/>
          <w:kern w:val="0"/>
          <w:sz w:val="21"/>
          <w:szCs w:val="21"/>
          <w:lang w:eastAsia="en-GB"/>
          <w14:ligatures w14:val="none"/>
        </w:rPr>
      </w:pPr>
      <w:r w:rsidRPr="00F440FC">
        <w:rPr>
          <w:rFonts w:ascii="Segoe UI" w:hAnsi="Segoe UI" w:eastAsia="Times New Roman" w:cs="Segoe UI"/>
          <w:kern w:val="0"/>
          <w:sz w:val="21"/>
          <w:szCs w:val="21"/>
          <w:lang w:eastAsia="en-GB"/>
          <w14:ligatures w14:val="none"/>
        </w:rPr>
        <w:t xml:space="preserve">The Sapir–Whorf hypothesis, or linguistic relativity, proposes that the structure and vocabulary of a language influence how its speakers think and perceive the world. Applied to education, this idea suggests that students struggle to form certain </w:t>
      </w:r>
      <w:r w:rsidRPr="00192332">
        <w:rPr>
          <w:rFonts w:ascii="Segoe UI" w:hAnsi="Segoe UI" w:eastAsia="Times New Roman" w:cs="Segoe UI"/>
          <w:b/>
          <w:bCs/>
          <w:kern w:val="0"/>
          <w:sz w:val="21"/>
          <w:szCs w:val="21"/>
          <w:lang w:eastAsia="en-GB"/>
          <w14:ligatures w14:val="none"/>
        </w:rPr>
        <w:t>cognitive concepts until they possess the linguistic tools</w:t>
      </w:r>
      <w:r w:rsidRPr="00F440FC">
        <w:rPr>
          <w:rFonts w:ascii="Segoe UI" w:hAnsi="Segoe UI" w:eastAsia="Times New Roman" w:cs="Segoe UI"/>
          <w:kern w:val="0"/>
          <w:sz w:val="21"/>
          <w:szCs w:val="21"/>
          <w:lang w:eastAsia="en-GB"/>
          <w14:ligatures w14:val="none"/>
        </w:rPr>
        <w:t xml:space="preserve"> to label, describe, and manipulate them. Without appropriate terms, distinctions may remain vague or unnoticed, limiting conceptual development. For example, learning precise mathematical, scientific, or emotional vocabulary allows learners to notice patterns, categories, and relationships that were previously difficult to grasp. Language does not merely express thought; it helps organise and stabilise it. While the “strong” </w:t>
      </w:r>
      <w:r w:rsidRPr="00F440FC">
        <w:rPr>
          <w:rFonts w:ascii="Segoe UI" w:hAnsi="Segoe UI" w:eastAsia="Times New Roman" w:cs="Segoe UI"/>
          <w:kern w:val="0"/>
          <w:sz w:val="21"/>
          <w:szCs w:val="21"/>
          <w:lang w:eastAsia="en-GB"/>
          <w14:ligatures w14:val="none"/>
        </w:rPr>
        <w:t xml:space="preserve">version of Sapir–Whorf, which claims language fully determines thought, is widely debated, a weaker interpretation is influential in education. It implies that </w:t>
      </w:r>
      <w:r w:rsidRPr="00087554">
        <w:rPr>
          <w:rFonts w:ascii="Segoe UI" w:hAnsi="Segoe UI" w:eastAsia="Times New Roman" w:cs="Segoe UI"/>
          <w:b/>
          <w:bCs/>
          <w:kern w:val="0"/>
          <w:sz w:val="21"/>
          <w:szCs w:val="21"/>
          <w:lang w:eastAsia="en-GB"/>
          <w14:ligatures w14:val="none"/>
        </w:rPr>
        <w:t>introducing new language supports new ways of thinking</w:t>
      </w:r>
      <w:r w:rsidRPr="00F440FC">
        <w:rPr>
          <w:rFonts w:ascii="Segoe UI" w:hAnsi="Segoe UI" w:eastAsia="Times New Roman" w:cs="Segoe UI"/>
          <w:kern w:val="0"/>
          <w:sz w:val="21"/>
          <w:szCs w:val="21"/>
          <w:lang w:eastAsia="en-GB"/>
          <w14:ligatures w14:val="none"/>
        </w:rPr>
        <w:t>, enabling students to conceptualise abstract ideas, reflect on them, and integrate them into existing knowledge frameworks within formal learning contexts.</w:t>
      </w:r>
    </w:p>
    <w:sectPr w:rsidRPr="00F440FC" w:rsidR="00F440FC" w:rsidSect="00C23251">
      <w:headerReference w:type="default" r:id="rId8"/>
      <w:pgSz w:w="11906" w:h="16838" w:orient="portrait"/>
      <w:pgMar w:top="1440" w:right="567" w:bottom="567"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E27D2" w:rsidP="00221C2A" w:rsidRDefault="005E27D2" w14:paraId="5994FB92" w14:textId="77777777">
      <w:pPr>
        <w:spacing w:after="0" w:line="240" w:lineRule="auto"/>
      </w:pPr>
      <w:r>
        <w:separator/>
      </w:r>
    </w:p>
  </w:endnote>
  <w:endnote w:type="continuationSeparator" w:id="0">
    <w:p w:rsidR="005E27D2" w:rsidP="00221C2A" w:rsidRDefault="005E27D2" w14:paraId="39EEE909"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E27D2" w:rsidP="00221C2A" w:rsidRDefault="005E27D2" w14:paraId="5ED33A16" w14:textId="77777777">
      <w:pPr>
        <w:spacing w:after="0" w:line="240" w:lineRule="auto"/>
      </w:pPr>
      <w:r>
        <w:separator/>
      </w:r>
    </w:p>
  </w:footnote>
  <w:footnote w:type="continuationSeparator" w:id="0">
    <w:p w:rsidR="005E27D2" w:rsidP="00221C2A" w:rsidRDefault="005E27D2" w14:paraId="013E378A"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221C2A" w:rsidP="00221C2A" w:rsidRDefault="00221C2A" w14:paraId="37CE0F85" w14:textId="0D87733E">
    <w:pPr>
      <w:pStyle w:val="Title"/>
    </w:pPr>
    <w:r>
      <w:rPr>
        <w:noProof/>
      </w:rPr>
      <w:drawing>
        <wp:anchor distT="0" distB="0" distL="114300" distR="114300" simplePos="0" relativeHeight="251659264" behindDoc="1" locked="0" layoutInCell="1" allowOverlap="1" wp14:anchorId="4F983117" wp14:editId="1CA01740">
          <wp:simplePos x="0" y="0"/>
          <wp:positionH relativeFrom="column">
            <wp:posOffset>0</wp:posOffset>
          </wp:positionH>
          <wp:positionV relativeFrom="paragraph">
            <wp:posOffset>82913</wp:posOffset>
          </wp:positionV>
          <wp:extent cx="310243" cy="310243"/>
          <wp:effectExtent l="0" t="0" r="0" b="0"/>
          <wp:wrapTight wrapText="bothSides">
            <wp:wrapPolygon edited="0">
              <wp:start x="3984" y="0"/>
              <wp:lineTo x="0" y="3984"/>
              <wp:lineTo x="0" y="15934"/>
              <wp:lineTo x="3984" y="19918"/>
              <wp:lineTo x="15934" y="19918"/>
              <wp:lineTo x="19918" y="15934"/>
              <wp:lineTo x="19918" y="3984"/>
              <wp:lineTo x="15934" y="0"/>
              <wp:lineTo x="3984" y="0"/>
            </wp:wrapPolygon>
          </wp:wrapTight>
          <wp:docPr id="3030326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032630" name="Picture 303032630"/>
                  <pic:cNvPicPr/>
                </pic:nvPicPr>
                <pic:blipFill>
                  <a:blip r:embed="rId1" cstate="print">
                    <a:extLst>
                      <a:ext uri="{28A0092B-C50C-407E-A947-70E740481C1C}">
                        <a14:useLocalDpi xmlns:a14="http://schemas.microsoft.com/office/drawing/2010/main" val="0"/>
                      </a:ext>
                    </a:extLst>
                  </a:blip>
                  <a:stretch>
                    <a:fillRect/>
                  </a:stretch>
                </pic:blipFill>
                <pic:spPr>
                  <a:xfrm>
                    <a:off x="0" y="0"/>
                    <a:ext cx="310243" cy="310243"/>
                  </a:xfrm>
                  <a:prstGeom prst="rect">
                    <a:avLst/>
                  </a:prstGeom>
                </pic:spPr>
              </pic:pic>
            </a:graphicData>
          </a:graphic>
        </wp:anchor>
      </w:drawing>
    </w:r>
    <w:r>
      <w:t xml:space="preserve"> Discipline Of English</w:t>
    </w:r>
    <w:r w:rsidR="00D848B9">
      <w:t xml:space="preserve"> </w:t>
    </w:r>
    <w:r w:rsidR="00642222">
      <w:tab/>
    </w:r>
    <w:r w:rsidR="00642222">
      <w:tab/>
    </w:r>
    <w:r w:rsidR="00D30EEE">
      <w:rPr>
        <w:sz w:val="24"/>
        <w:szCs w:val="24"/>
      </w:rPr>
      <w:t>English Language</w:t>
    </w:r>
    <w:r w:rsidRPr="00CF1332" w:rsidR="00CF1332">
      <w:rPr>
        <w:sz w:val="24"/>
        <w:szCs w:val="24"/>
      </w:rPr>
      <w:t xml:space="preserve"> </w:t>
    </w:r>
    <w:r w:rsidR="008F0199">
      <w:rPr>
        <w:sz w:val="24"/>
        <w:szCs w:val="24"/>
      </w:rPr>
      <w:t>Curriculum</w:t>
    </w:r>
    <w:r w:rsidRPr="00D848B9" w:rsidR="00D848B9">
      <w:rPr>
        <w:sz w:val="24"/>
        <w:szCs w:val="24"/>
      </w:rPr>
      <w:t xml:space="preserve"> Plan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E5006B"/>
    <w:multiLevelType w:val="hybridMultilevel"/>
    <w:tmpl w:val="58AA038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150973974">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4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2F3B"/>
    <w:rsid w:val="00024331"/>
    <w:rsid w:val="00024C9D"/>
    <w:rsid w:val="000301D6"/>
    <w:rsid w:val="00031AB5"/>
    <w:rsid w:val="000366D8"/>
    <w:rsid w:val="00044023"/>
    <w:rsid w:val="00052992"/>
    <w:rsid w:val="00055A98"/>
    <w:rsid w:val="00066B88"/>
    <w:rsid w:val="00073B94"/>
    <w:rsid w:val="0007643A"/>
    <w:rsid w:val="00081024"/>
    <w:rsid w:val="00082370"/>
    <w:rsid w:val="0008531C"/>
    <w:rsid w:val="00087554"/>
    <w:rsid w:val="000915DD"/>
    <w:rsid w:val="00094F12"/>
    <w:rsid w:val="000A5AB2"/>
    <w:rsid w:val="000B085B"/>
    <w:rsid w:val="000C59A8"/>
    <w:rsid w:val="000D63B4"/>
    <w:rsid w:val="000E7114"/>
    <w:rsid w:val="001036B8"/>
    <w:rsid w:val="00116DE8"/>
    <w:rsid w:val="001267BE"/>
    <w:rsid w:val="001342BC"/>
    <w:rsid w:val="00161063"/>
    <w:rsid w:val="001653CE"/>
    <w:rsid w:val="0017332D"/>
    <w:rsid w:val="0017361E"/>
    <w:rsid w:val="00175665"/>
    <w:rsid w:val="00182D2F"/>
    <w:rsid w:val="00187F1B"/>
    <w:rsid w:val="00191844"/>
    <w:rsid w:val="00192332"/>
    <w:rsid w:val="001A275E"/>
    <w:rsid w:val="001A297B"/>
    <w:rsid w:val="001A479C"/>
    <w:rsid w:val="001E6285"/>
    <w:rsid w:val="00206363"/>
    <w:rsid w:val="00207725"/>
    <w:rsid w:val="002155BE"/>
    <w:rsid w:val="00215B3C"/>
    <w:rsid w:val="00221ABB"/>
    <w:rsid w:val="00221C2A"/>
    <w:rsid w:val="00221DB6"/>
    <w:rsid w:val="002230E2"/>
    <w:rsid w:val="00225B07"/>
    <w:rsid w:val="00231D7E"/>
    <w:rsid w:val="00232FBD"/>
    <w:rsid w:val="00241587"/>
    <w:rsid w:val="002461EF"/>
    <w:rsid w:val="002462C9"/>
    <w:rsid w:val="00247438"/>
    <w:rsid w:val="00263BBE"/>
    <w:rsid w:val="00280551"/>
    <w:rsid w:val="00294914"/>
    <w:rsid w:val="002954F0"/>
    <w:rsid w:val="002A0350"/>
    <w:rsid w:val="002A4D16"/>
    <w:rsid w:val="002B1BF9"/>
    <w:rsid w:val="002B7C3D"/>
    <w:rsid w:val="002C6177"/>
    <w:rsid w:val="002E037F"/>
    <w:rsid w:val="00303EF6"/>
    <w:rsid w:val="00307939"/>
    <w:rsid w:val="00312CB3"/>
    <w:rsid w:val="003248B9"/>
    <w:rsid w:val="0034452E"/>
    <w:rsid w:val="00346D27"/>
    <w:rsid w:val="00353415"/>
    <w:rsid w:val="00355AB1"/>
    <w:rsid w:val="00392D2A"/>
    <w:rsid w:val="00393F5F"/>
    <w:rsid w:val="003A07AA"/>
    <w:rsid w:val="003A1655"/>
    <w:rsid w:val="003B22CE"/>
    <w:rsid w:val="003B74A3"/>
    <w:rsid w:val="003D35F7"/>
    <w:rsid w:val="003E7965"/>
    <w:rsid w:val="003F5DB8"/>
    <w:rsid w:val="00407CB3"/>
    <w:rsid w:val="00425E74"/>
    <w:rsid w:val="00455FC3"/>
    <w:rsid w:val="00460A56"/>
    <w:rsid w:val="004647CF"/>
    <w:rsid w:val="00473428"/>
    <w:rsid w:val="00475BA8"/>
    <w:rsid w:val="00477508"/>
    <w:rsid w:val="00486C08"/>
    <w:rsid w:val="004A6C09"/>
    <w:rsid w:val="004B112F"/>
    <w:rsid w:val="004C2292"/>
    <w:rsid w:val="004C5553"/>
    <w:rsid w:val="004D1DE5"/>
    <w:rsid w:val="004E1A82"/>
    <w:rsid w:val="004F09DE"/>
    <w:rsid w:val="00545CAD"/>
    <w:rsid w:val="00566C83"/>
    <w:rsid w:val="0056704C"/>
    <w:rsid w:val="0057112D"/>
    <w:rsid w:val="005C0209"/>
    <w:rsid w:val="005E27D2"/>
    <w:rsid w:val="00602593"/>
    <w:rsid w:val="0061537C"/>
    <w:rsid w:val="006249D8"/>
    <w:rsid w:val="00627023"/>
    <w:rsid w:val="00635690"/>
    <w:rsid w:val="00637D92"/>
    <w:rsid w:val="00642222"/>
    <w:rsid w:val="00646316"/>
    <w:rsid w:val="00652422"/>
    <w:rsid w:val="00653797"/>
    <w:rsid w:val="00655B95"/>
    <w:rsid w:val="00665C11"/>
    <w:rsid w:val="00670C52"/>
    <w:rsid w:val="0068103F"/>
    <w:rsid w:val="00685BEA"/>
    <w:rsid w:val="006929A8"/>
    <w:rsid w:val="00692ECC"/>
    <w:rsid w:val="006951C7"/>
    <w:rsid w:val="006A2D70"/>
    <w:rsid w:val="006A502B"/>
    <w:rsid w:val="006B25A7"/>
    <w:rsid w:val="006B459F"/>
    <w:rsid w:val="006D4559"/>
    <w:rsid w:val="006E7CE3"/>
    <w:rsid w:val="006F3B87"/>
    <w:rsid w:val="006F662D"/>
    <w:rsid w:val="007027BA"/>
    <w:rsid w:val="00716436"/>
    <w:rsid w:val="00722BA1"/>
    <w:rsid w:val="0072790A"/>
    <w:rsid w:val="007312F8"/>
    <w:rsid w:val="00734D8E"/>
    <w:rsid w:val="007565FB"/>
    <w:rsid w:val="0076588E"/>
    <w:rsid w:val="007808AD"/>
    <w:rsid w:val="007C1F29"/>
    <w:rsid w:val="007D0D74"/>
    <w:rsid w:val="007D3007"/>
    <w:rsid w:val="007D7E11"/>
    <w:rsid w:val="007E1A8F"/>
    <w:rsid w:val="007E35EC"/>
    <w:rsid w:val="007E382E"/>
    <w:rsid w:val="007F13FA"/>
    <w:rsid w:val="007F4A42"/>
    <w:rsid w:val="00801633"/>
    <w:rsid w:val="008028A2"/>
    <w:rsid w:val="00807813"/>
    <w:rsid w:val="00807845"/>
    <w:rsid w:val="00820765"/>
    <w:rsid w:val="00845BE6"/>
    <w:rsid w:val="00862F3B"/>
    <w:rsid w:val="00866E8A"/>
    <w:rsid w:val="00873C7F"/>
    <w:rsid w:val="00873DF9"/>
    <w:rsid w:val="0087761C"/>
    <w:rsid w:val="008848E1"/>
    <w:rsid w:val="00884FF7"/>
    <w:rsid w:val="00896EDA"/>
    <w:rsid w:val="008A66CB"/>
    <w:rsid w:val="008C1BE5"/>
    <w:rsid w:val="008C75C3"/>
    <w:rsid w:val="008E53FF"/>
    <w:rsid w:val="008F0199"/>
    <w:rsid w:val="008F0E27"/>
    <w:rsid w:val="00913B6B"/>
    <w:rsid w:val="009619CD"/>
    <w:rsid w:val="0097107B"/>
    <w:rsid w:val="00976B54"/>
    <w:rsid w:val="009B1D1F"/>
    <w:rsid w:val="009B3240"/>
    <w:rsid w:val="009B7938"/>
    <w:rsid w:val="009C4CDD"/>
    <w:rsid w:val="00A000BB"/>
    <w:rsid w:val="00A04EDE"/>
    <w:rsid w:val="00A113B5"/>
    <w:rsid w:val="00A12B59"/>
    <w:rsid w:val="00A15A0B"/>
    <w:rsid w:val="00A4008E"/>
    <w:rsid w:val="00A517C2"/>
    <w:rsid w:val="00A5184E"/>
    <w:rsid w:val="00A57BC2"/>
    <w:rsid w:val="00A641B0"/>
    <w:rsid w:val="00A655BC"/>
    <w:rsid w:val="00A72833"/>
    <w:rsid w:val="00A7583A"/>
    <w:rsid w:val="00A80BC0"/>
    <w:rsid w:val="00A82FD3"/>
    <w:rsid w:val="00A90ECF"/>
    <w:rsid w:val="00A92A17"/>
    <w:rsid w:val="00A9416B"/>
    <w:rsid w:val="00AA5143"/>
    <w:rsid w:val="00AB7E2D"/>
    <w:rsid w:val="00AC054B"/>
    <w:rsid w:val="00AC2A72"/>
    <w:rsid w:val="00AC76EB"/>
    <w:rsid w:val="00AE2BD7"/>
    <w:rsid w:val="00AE3CFB"/>
    <w:rsid w:val="00B03832"/>
    <w:rsid w:val="00B06939"/>
    <w:rsid w:val="00B078D4"/>
    <w:rsid w:val="00B138FB"/>
    <w:rsid w:val="00B34007"/>
    <w:rsid w:val="00B36A5F"/>
    <w:rsid w:val="00B4548B"/>
    <w:rsid w:val="00B54B19"/>
    <w:rsid w:val="00B6700C"/>
    <w:rsid w:val="00B750AE"/>
    <w:rsid w:val="00B77A33"/>
    <w:rsid w:val="00B81B45"/>
    <w:rsid w:val="00B95E2F"/>
    <w:rsid w:val="00BA6E97"/>
    <w:rsid w:val="00BC1836"/>
    <w:rsid w:val="00BC3F10"/>
    <w:rsid w:val="00BC635B"/>
    <w:rsid w:val="00BD4DB1"/>
    <w:rsid w:val="00C02937"/>
    <w:rsid w:val="00C21A0A"/>
    <w:rsid w:val="00C23251"/>
    <w:rsid w:val="00C75CBA"/>
    <w:rsid w:val="00C76BD0"/>
    <w:rsid w:val="00C770C7"/>
    <w:rsid w:val="00CA08A9"/>
    <w:rsid w:val="00CA53FA"/>
    <w:rsid w:val="00CC699A"/>
    <w:rsid w:val="00CE1785"/>
    <w:rsid w:val="00CF1332"/>
    <w:rsid w:val="00CF2F90"/>
    <w:rsid w:val="00CF5598"/>
    <w:rsid w:val="00D00BC2"/>
    <w:rsid w:val="00D0199E"/>
    <w:rsid w:val="00D103D3"/>
    <w:rsid w:val="00D140FF"/>
    <w:rsid w:val="00D2514A"/>
    <w:rsid w:val="00D253D9"/>
    <w:rsid w:val="00D30EEE"/>
    <w:rsid w:val="00D316C3"/>
    <w:rsid w:val="00D3389E"/>
    <w:rsid w:val="00D45F36"/>
    <w:rsid w:val="00D47678"/>
    <w:rsid w:val="00D52333"/>
    <w:rsid w:val="00D52CD0"/>
    <w:rsid w:val="00D60305"/>
    <w:rsid w:val="00D71E80"/>
    <w:rsid w:val="00D72EF5"/>
    <w:rsid w:val="00D8290C"/>
    <w:rsid w:val="00D848B9"/>
    <w:rsid w:val="00D87FBF"/>
    <w:rsid w:val="00D93AAF"/>
    <w:rsid w:val="00DA1F54"/>
    <w:rsid w:val="00DA2A43"/>
    <w:rsid w:val="00DC7138"/>
    <w:rsid w:val="00DE1E74"/>
    <w:rsid w:val="00DF5D52"/>
    <w:rsid w:val="00E122C0"/>
    <w:rsid w:val="00E2112B"/>
    <w:rsid w:val="00E230C8"/>
    <w:rsid w:val="00E241FC"/>
    <w:rsid w:val="00E2479D"/>
    <w:rsid w:val="00E36692"/>
    <w:rsid w:val="00E52A6B"/>
    <w:rsid w:val="00E576D6"/>
    <w:rsid w:val="00E70064"/>
    <w:rsid w:val="00E75544"/>
    <w:rsid w:val="00E76188"/>
    <w:rsid w:val="00E92A61"/>
    <w:rsid w:val="00E96EB7"/>
    <w:rsid w:val="00EB2697"/>
    <w:rsid w:val="00EC0D79"/>
    <w:rsid w:val="00ED064E"/>
    <w:rsid w:val="00ED069C"/>
    <w:rsid w:val="00F03B48"/>
    <w:rsid w:val="00F04ECB"/>
    <w:rsid w:val="00F2180D"/>
    <w:rsid w:val="00F2192E"/>
    <w:rsid w:val="00F3615E"/>
    <w:rsid w:val="00F36EB8"/>
    <w:rsid w:val="00F440FC"/>
    <w:rsid w:val="00F46107"/>
    <w:rsid w:val="00F60EB6"/>
    <w:rsid w:val="00F74353"/>
    <w:rsid w:val="00F85F13"/>
    <w:rsid w:val="00F87D31"/>
    <w:rsid w:val="00F90D3C"/>
    <w:rsid w:val="00FA1518"/>
    <w:rsid w:val="00FA35CF"/>
    <w:rsid w:val="00FB13BB"/>
    <w:rsid w:val="00FC2AAE"/>
    <w:rsid w:val="00FC3260"/>
    <w:rsid w:val="00FD018F"/>
    <w:rsid w:val="00FD45FE"/>
    <w:rsid w:val="00FE070F"/>
    <w:rsid w:val="00FE3A26"/>
    <w:rsid w:val="00FF17DD"/>
    <w:rsid w:val="00FF4F64"/>
    <w:rsid w:val="00FF503B"/>
    <w:rsid w:val="2B268806"/>
    <w:rsid w:val="7D678A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D70E27"/>
  <w15:chartTrackingRefBased/>
  <w15:docId w15:val="{A04F2610-E48C-4CD0-A096-2E2EB551146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862F3B"/>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62F3B"/>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62F3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62F3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62F3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62F3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62F3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62F3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62F3B"/>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862F3B"/>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sid w:val="00862F3B"/>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862F3B"/>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862F3B"/>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862F3B"/>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862F3B"/>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862F3B"/>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862F3B"/>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862F3B"/>
    <w:rPr>
      <w:rFonts w:eastAsiaTheme="majorEastAsia" w:cstheme="majorBidi"/>
      <w:color w:val="272727" w:themeColor="text1" w:themeTint="D8"/>
    </w:rPr>
  </w:style>
  <w:style w:type="paragraph" w:styleId="Title">
    <w:name w:val="Title"/>
    <w:basedOn w:val="Normal"/>
    <w:next w:val="Normal"/>
    <w:link w:val="TitleChar"/>
    <w:uiPriority w:val="10"/>
    <w:qFormat/>
    <w:rsid w:val="00862F3B"/>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862F3B"/>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862F3B"/>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862F3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62F3B"/>
    <w:pPr>
      <w:spacing w:before="160"/>
      <w:jc w:val="center"/>
    </w:pPr>
    <w:rPr>
      <w:i/>
      <w:iCs/>
      <w:color w:val="404040" w:themeColor="text1" w:themeTint="BF"/>
    </w:rPr>
  </w:style>
  <w:style w:type="character" w:styleId="QuoteChar" w:customStyle="1">
    <w:name w:val="Quote Char"/>
    <w:basedOn w:val="DefaultParagraphFont"/>
    <w:link w:val="Quote"/>
    <w:uiPriority w:val="29"/>
    <w:rsid w:val="00862F3B"/>
    <w:rPr>
      <w:i/>
      <w:iCs/>
      <w:color w:val="404040" w:themeColor="text1" w:themeTint="BF"/>
    </w:rPr>
  </w:style>
  <w:style w:type="paragraph" w:styleId="ListParagraph">
    <w:name w:val="List Paragraph"/>
    <w:basedOn w:val="Normal"/>
    <w:uiPriority w:val="34"/>
    <w:qFormat/>
    <w:rsid w:val="00862F3B"/>
    <w:pPr>
      <w:ind w:left="720"/>
      <w:contextualSpacing/>
    </w:pPr>
  </w:style>
  <w:style w:type="character" w:styleId="IntenseEmphasis">
    <w:name w:val="Intense Emphasis"/>
    <w:basedOn w:val="DefaultParagraphFont"/>
    <w:uiPriority w:val="21"/>
    <w:qFormat/>
    <w:rsid w:val="00862F3B"/>
    <w:rPr>
      <w:i/>
      <w:iCs/>
      <w:color w:val="0F4761" w:themeColor="accent1" w:themeShade="BF"/>
    </w:rPr>
  </w:style>
  <w:style w:type="paragraph" w:styleId="IntenseQuote">
    <w:name w:val="Intense Quote"/>
    <w:basedOn w:val="Normal"/>
    <w:next w:val="Normal"/>
    <w:link w:val="IntenseQuoteChar"/>
    <w:uiPriority w:val="30"/>
    <w:qFormat/>
    <w:rsid w:val="00862F3B"/>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862F3B"/>
    <w:rPr>
      <w:i/>
      <w:iCs/>
      <w:color w:val="0F4761" w:themeColor="accent1" w:themeShade="BF"/>
    </w:rPr>
  </w:style>
  <w:style w:type="character" w:styleId="IntenseReference">
    <w:name w:val="Intense Reference"/>
    <w:basedOn w:val="DefaultParagraphFont"/>
    <w:uiPriority w:val="32"/>
    <w:qFormat/>
    <w:rsid w:val="00862F3B"/>
    <w:rPr>
      <w:b/>
      <w:bCs/>
      <w:smallCaps/>
      <w:color w:val="0F4761" w:themeColor="accent1" w:themeShade="BF"/>
      <w:spacing w:val="5"/>
    </w:rPr>
  </w:style>
  <w:style w:type="table" w:styleId="TableGrid">
    <w:name w:val="Table Grid"/>
    <w:basedOn w:val="TableNormal"/>
    <w:uiPriority w:val="39"/>
    <w:rsid w:val="00862F3B"/>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221C2A"/>
    <w:pPr>
      <w:tabs>
        <w:tab w:val="center" w:pos="4513"/>
        <w:tab w:val="right" w:pos="9026"/>
      </w:tabs>
      <w:spacing w:after="0" w:line="240" w:lineRule="auto"/>
    </w:pPr>
  </w:style>
  <w:style w:type="character" w:styleId="HeaderChar" w:customStyle="1">
    <w:name w:val="Header Char"/>
    <w:basedOn w:val="DefaultParagraphFont"/>
    <w:link w:val="Header"/>
    <w:uiPriority w:val="99"/>
    <w:rsid w:val="00221C2A"/>
  </w:style>
  <w:style w:type="paragraph" w:styleId="Footer">
    <w:name w:val="footer"/>
    <w:basedOn w:val="Normal"/>
    <w:link w:val="FooterChar"/>
    <w:uiPriority w:val="99"/>
    <w:unhideWhenUsed/>
    <w:rsid w:val="00221C2A"/>
    <w:pPr>
      <w:tabs>
        <w:tab w:val="center" w:pos="4513"/>
        <w:tab w:val="right" w:pos="9026"/>
      </w:tabs>
      <w:spacing w:after="0" w:line="240" w:lineRule="auto"/>
    </w:pPr>
  </w:style>
  <w:style w:type="character" w:styleId="FooterChar" w:customStyle="1">
    <w:name w:val="Footer Char"/>
    <w:basedOn w:val="DefaultParagraphFont"/>
    <w:link w:val="Footer"/>
    <w:uiPriority w:val="99"/>
    <w:rsid w:val="00221C2A"/>
  </w:style>
  <w:style w:type="character" w:styleId="Emphasis">
    <w:name w:val="Emphasis"/>
    <w:basedOn w:val="DefaultParagraphFont"/>
    <w:uiPriority w:val="20"/>
    <w:qFormat/>
    <w:rsid w:val="008C1BE5"/>
    <w:rPr>
      <w:i/>
      <w:iCs/>
    </w:rPr>
  </w:style>
  <w:style w:type="paragraph" w:styleId="NormalWeb">
    <w:name w:val="Normal (Web)"/>
    <w:basedOn w:val="Normal"/>
    <w:uiPriority w:val="99"/>
    <w:semiHidden/>
    <w:unhideWhenUsed/>
    <w:rsid w:val="00ED069C"/>
    <w:pPr>
      <w:spacing w:before="100" w:beforeAutospacing="1" w:after="100" w:afterAutospacing="1" w:line="240" w:lineRule="auto"/>
    </w:pPr>
    <w:rPr>
      <w:rFonts w:ascii="Times New Roman" w:hAnsi="Times New Roman" w:eastAsia="Times New Roman" w:cs="Times New Roman"/>
      <w:kern w:val="0"/>
      <w:sz w:val="24"/>
      <w:szCs w:val="24"/>
      <w:lang w:eastAsia="en-GB"/>
      <w14:ligatures w14:val="none"/>
    </w:rPr>
  </w:style>
  <w:style w:type="character" w:styleId="Strong">
    <w:name w:val="Strong"/>
    <w:basedOn w:val="DefaultParagraphFont"/>
    <w:uiPriority w:val="22"/>
    <w:qFormat/>
    <w:rsid w:val="00ED069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Aaron Swan</dc:creator>
  <keywords/>
  <dc:description/>
  <lastModifiedBy>A. Swan</lastModifiedBy>
  <revision>6</revision>
  <dcterms:created xsi:type="dcterms:W3CDTF">2026-06-02T07:59:00.0000000Z</dcterms:created>
  <dcterms:modified xsi:type="dcterms:W3CDTF">2026-06-25T11:35:50.1646626Z</dcterms:modified>
</coreProperties>
</file>